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ci-earnings-predictions--2026-07-22"/>
    <w:p>
      <w:pPr>
        <w:pStyle w:val="Heading1"/>
      </w:pPr>
      <w:r>
        <w:t xml:space="preserve">CCI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AFFO/share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~$1.05 vs. cons $1.047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Site-rental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~$942.0M vs. cons $942.4M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contribution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~-2.70% vs. cons -2.86%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AFFO/share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4.53</m:t>
              </m:r>
              <m:r>
                <m:rPr>
                  <m:sty m:val="p"/>
                </m:rPr>
                <m:t>−</m:t>
              </m:r>
            </m:oMath>
            <w:r>
              <w:t xml:space="preserve">4.65 vs. cons $4.521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Site-rental revenue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3.828</m:t>
              </m:r>
              <m:r>
                <m:rPr>
                  <m:sty m:val="p"/>
                </m:rPr>
                <m:t>−</m:t>
              </m:r>
            </m:oMath>
            <w:r>
              <w:t xml:space="preserve">3.873B vs. cons $3.853B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EBITDA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2.665</m:t>
              </m:r>
              <m:r>
                <m:rPr>
                  <m:sty m:val="p"/>
                </m:rPr>
                <m:t>−</m:t>
              </m:r>
            </m:oMath>
            <w:r>
              <w:t xml:space="preserve">2.715B vs. cons $2.704B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Organic-growth commentary (FY2026)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reaffirm low-watermark / H2-loaded framing; no numerical guide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in-line package, relief setup, no true estimate raise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2026-07-24T22:26:07Z</dcterms:created>
  <dcterms:modified xsi:type="dcterms:W3CDTF">2026-07-24T22:26:07Z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