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Crown Castle Inc. (CCI) — Q2 2026 Earnings Preview</w:t>
      </w:r>
    </w:p>
    <w:p>
      <w:r>
        <w:rPr>
          <w:rFonts w:ascii="Calibri" w:hAnsi="Calibri"/>
          <w:b/>
          <w:color w:val="525866"/>
          <w:sz w:val="22"/>
        </w:rPr>
        <w:t xml:space="preserve">Ticker: </w:t>
      </w:r>
      <w:r>
        <w:rPr>
          <w:rFonts w:ascii="Calibri" w:hAnsi="Calibri"/>
          <w:color w:val="525866"/>
          <w:sz w:val="22"/>
        </w:rPr>
        <w:t xml:space="preserve">CCI  </w:t>
      </w:r>
      <w:r>
        <w:rPr>
          <w:rFonts w:ascii="Calibri" w:hAnsi="Calibri"/>
          <w:b/>
          <w:color w:val="525866"/>
          <w:sz w:val="22"/>
        </w:rPr>
        <w:t xml:space="preserve">Earnings Date: </w:t>
      </w:r>
      <w:r>
        <w:rPr>
          <w:rFonts w:ascii="Calibri" w:hAnsi="Calibri"/>
          <w:color w:val="525866"/>
          <w:sz w:val="22"/>
        </w:rPr>
        <w:t xml:space="preserve">July 22, 2026 (after market close)  </w:t>
      </w:r>
      <w:r>
        <w:rPr>
          <w:rFonts w:ascii="Calibri" w:hAnsi="Calibri"/>
          <w:b/>
          <w:color w:val="525866"/>
          <w:sz w:val="22"/>
        </w:rPr>
        <w:t xml:space="preserve">Prepared: </w:t>
      </w:r>
      <w:r>
        <w:rPr>
          <w:rFonts w:ascii="Calibri" w:hAnsi="Calibri"/>
          <w:color w:val="525866"/>
          <w:sz w:val="22"/>
        </w:rPr>
        <w:t xml:space="preserve">July 21, 2026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w:t>
      </w:r>
      <w:r>
        <w:rPr>
          <w:rFonts w:ascii="Calibri" w:hAnsi="Calibri"/>
          <w:b/>
          <w:color w:val="525866"/>
          <w:sz w:val="22"/>
        </w:rPr>
        <w:t>modestly constructive but not a high bar</w:t>
      </w:r>
      <w:r>
        <w:rPr>
          <w:rFonts w:ascii="Calibri" w:hAnsi="Calibri"/>
          <w:color w:val="525866"/>
          <w:sz w:val="22"/>
        </w:rPr>
        <w:t xml:space="preserve"> — consensus AFFO/share of ~$1.05 is achievable given the interest expense tailwind from the May 1 fiber sale close, but the organic growth trajectory (guided at ~−2.9% for Q2) remains the key swing factor and any upside surprise there would be the real catalyst.</w:t>
      </w:r>
    </w:p>
    <w:p>
      <w:r>
        <w:rPr>
          <w:rFonts w:ascii="Calibri" w:hAnsi="Calibri"/>
          <w:color w:val="525866"/>
          <w:sz w:val="22"/>
        </w:rPr>
        <w:t xml:space="preserve">Heading into Q2 2026, Crown Castle's bar is set at a </w:t>
      </w:r>
      <w:r>
        <w:rPr>
          <w:rFonts w:ascii="Calibri" w:hAnsi="Calibri"/>
          <w:b/>
          <w:color w:val="525866"/>
          <w:sz w:val="22"/>
        </w:rPr>
        <w:t>manageable level</w:t>
      </w:r>
      <w:r>
        <w:rPr>
          <w:rFonts w:ascii="Calibri" w:hAnsi="Calibri"/>
          <w:color w:val="525866"/>
          <w:sz w:val="22"/>
        </w:rPr>
        <w:t xml:space="preserve"> — consensus AFFO per share of ~$1.05 reflects the structural headwinds from DISH terminations (~$220M annualized drag) and Sprint cancellations, partially offset by a meaningful </w:t>
      </w:r>
      <w:r>
        <w:rPr>
          <w:rFonts w:ascii="Calibri" w:hAnsi="Calibri"/>
          <w:b/>
          <w:color w:val="525866"/>
          <w:sz w:val="22"/>
        </w:rPr>
        <w:t>~$160M reduction in annual interest expense</w:t>
      </w:r>
      <w:r>
        <w:rPr>
          <w:rFonts w:ascii="Calibri" w:hAnsi="Calibri"/>
          <w:color w:val="525866"/>
          <w:sz w:val="22"/>
        </w:rPr>
        <w:t xml:space="preserve"> following the May 1 close of the $8.5B fiber/small cell divestiture. Management's tone at the June 2026 Nareit REITweek conference shifted to </w:t>
      </w:r>
      <w:r>
        <w:rPr>
          <w:rFonts w:ascii="Calibri" w:hAnsi="Calibri"/>
          <w:b/>
          <w:color w:val="525866"/>
          <w:sz w:val="22"/>
        </w:rPr>
        <w:t>cautious optimism</w:t>
      </w:r>
      <w:r>
        <w:rPr>
          <w:rFonts w:ascii="Calibri" w:hAnsi="Calibri"/>
          <w:color w:val="525866"/>
          <w:sz w:val="22"/>
        </w:rPr>
        <w:t xml:space="preserve"> on the DISH/EchoStar front — the FCC established a set-aside from spectrum sale proceeds that management characterized as a "floor," though a court judgment is still required to access funds. Estimate revisions have drifted </w:t>
      </w:r>
      <w:r>
        <w:rPr>
          <w:rFonts w:ascii="Calibri" w:hAnsi="Calibri"/>
          <w:b/>
          <w:color w:val="525866"/>
          <w:sz w:val="22"/>
        </w:rPr>
        <w:t>modestly higher since the May 1 guidance update</w:t>
      </w:r>
      <w:r>
        <w:rPr>
          <w:rFonts w:ascii="Calibri" w:hAnsi="Calibri"/>
          <w:color w:val="525866"/>
          <w:sz w:val="22"/>
        </w:rPr>
        <w:t xml:space="preserve"> (AFFO/share consensus moved from ~$1.01 to ~$1.05 over the past 10 weeks), suggesting the Street is gradually pricing in the interest expense benefit. The stock has </w:t>
      </w:r>
      <w:r>
        <w:rPr>
          <w:rFonts w:ascii="Calibri" w:hAnsi="Calibri"/>
          <w:b/>
          <w:color w:val="525866"/>
          <w:sz w:val="22"/>
        </w:rPr>
        <w:t>underperformed VNQ by ~12pp since the Q1 print</w:t>
      </w:r>
      <w:r>
        <w:rPr>
          <w:rFonts w:ascii="Calibri" w:hAnsi="Calibri"/>
          <w:color w:val="525866"/>
          <w:sz w:val="22"/>
        </w:rPr>
        <w:t xml:space="preserve"> on April 22, trading down to ~$76 from ~$86, reflecting persistent concern about the DISH litigation timeline and organic growth trough. The single biggest wildcard is </w:t>
      </w:r>
      <w:r>
        <w:rPr>
          <w:rFonts w:ascii="Calibri" w:hAnsi="Calibri"/>
          <w:b/>
          <w:color w:val="525866"/>
          <w:sz w:val="22"/>
        </w:rPr>
        <w:t>any update on the DISH/EchoStar FCC set-aside and litigation timeline</w:t>
      </w:r>
      <w:r>
        <w:rPr>
          <w:rFonts w:ascii="Calibri" w:hAnsi="Calibri"/>
          <w:color w:val="525866"/>
          <w:sz w:val="22"/>
        </w:rPr>
        <w:t xml:space="preserve"> — a clearer path to recovery of even a portion of the $3.5B+ contractual claim would be a meaningful re-rating catalyst, while further delay would keep the stock range-bound.</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w:t>
      </w:r>
      <w:r>
        <w:rPr>
          <w:rFonts w:ascii="Calibri" w:hAnsi="Calibri"/>
          <w:b/>
          <w:color w:val="525866"/>
          <w:sz w:val="22"/>
        </w:rPr>
        <w:t>low-to-moderate bar on site rental revenues</w:t>
      </w:r>
      <w:r>
        <w:rPr>
          <w:rFonts w:ascii="Calibri" w:hAnsi="Calibri"/>
          <w:color w:val="525866"/>
          <w:sz w:val="22"/>
        </w:rPr>
        <w:t xml:space="preserve"> (~$942M, down ~6.5% YoY) given the known DISH headwind, while </w:t>
      </w:r>
      <w:r>
        <w:rPr>
          <w:rFonts w:ascii="Calibri" w:hAnsi="Calibri"/>
          <w:b/>
          <w:color w:val="525866"/>
          <w:sz w:val="22"/>
        </w:rPr>
        <w:t>AFFO/share (~$1.05) is the bigger swing factor</w:t>
      </w:r>
      <w:r>
        <w:rPr>
          <w:rFonts w:ascii="Calibri" w:hAnsi="Calibri"/>
          <w:color w:val="525866"/>
          <w:sz w:val="22"/>
        </w:rPr>
        <w:t xml:space="preserve"> — driven by interest expense savings that are now fully embedded in guidance but may still surprise positively on timing.</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Site Rental Revenue ($M)</w:t>
            </w:r>
          </w:p>
        </w:tc>
        <w:tc>
          <w:tcPr>
            <w:tcW w:type="dxa" w:w="1234"/>
          </w:tcPr>
          <w:p>
            <w:r>
              <w:rPr>
                <w:rFonts w:ascii="Calibri" w:hAnsi="Calibri"/>
                <w:sz w:val="22"/>
              </w:rPr>
              <w:t>$961M</w:t>
            </w:r>
          </w:p>
        </w:tc>
        <w:tc>
          <w:tcPr>
            <w:tcW w:type="dxa" w:w="1234"/>
          </w:tcPr>
          <w:p>
            <w:r>
              <w:rPr>
                <w:rFonts w:ascii="Calibri" w:hAnsi="Calibri"/>
                <w:sz w:val="22"/>
              </w:rPr>
              <w:t>$1,008M</w:t>
            </w:r>
          </w:p>
        </w:tc>
        <w:tc>
          <w:tcPr>
            <w:tcW w:type="dxa" w:w="1234"/>
          </w:tcPr>
          <w:p>
            <w:r>
              <w:rPr>
                <w:rFonts w:ascii="Calibri" w:hAnsi="Calibri"/>
                <w:sz w:val="22"/>
              </w:rPr>
              <w:t>$942M</w:t>
            </w:r>
          </w:p>
        </w:tc>
        <w:tc>
          <w:tcPr>
            <w:tcW w:type="dxa" w:w="1234"/>
          </w:tcPr>
          <w:p>
            <w:r>
              <w:rPr>
                <w:rFonts w:ascii="Calibri" w:hAnsi="Calibri"/>
                <w:b/>
                <w:color w:val="E5484D"/>
                <w:sz w:val="22"/>
              </w:rPr>
              <w:t>−6.5%</w:t>
            </w:r>
          </w:p>
        </w:tc>
        <w:tc>
          <w:tcPr>
            <w:tcW w:type="dxa" w:w="1234"/>
          </w:tcPr>
          <w:p>
            <w:r>
              <w:rPr>
                <w:rFonts w:ascii="Calibri" w:hAnsi="Calibri"/>
                <w:sz w:val="22"/>
              </w:rPr>
              <w:t>$3,851M (FY)</w:t>
            </w:r>
          </w:p>
        </w:tc>
        <w:tc>
          <w:tcPr>
            <w:tcW w:type="dxa" w:w="1234"/>
          </w:tcPr>
          <w:p>
            <w:r>
              <w:rPr>
                <w:rFonts w:ascii="Calibri" w:hAnsi="Calibri"/>
                <w:sz w:val="22"/>
              </w:rPr>
              <w:t>~−0.2% vs. FY midpoint run-rate</w:t>
            </w:r>
          </w:p>
        </w:tc>
      </w:tr>
      <w:tr>
        <w:tc>
          <w:tcPr>
            <w:tcW w:type="dxa" w:w="1234"/>
          </w:tcPr>
          <w:p>
            <w:r>
              <w:rPr>
                <w:rFonts w:ascii="Calibri" w:hAnsi="Calibri"/>
                <w:sz w:val="22"/>
              </w:rPr>
              <w:t>AFFO ($M)</w:t>
            </w:r>
          </w:p>
        </w:tc>
        <w:tc>
          <w:tcPr>
            <w:tcW w:type="dxa" w:w="1234"/>
          </w:tcPr>
          <w:p>
            <w:r>
              <w:rPr>
                <w:rFonts w:ascii="Calibri" w:hAnsi="Calibri"/>
                <w:sz w:val="22"/>
              </w:rPr>
              <w:t>$446M</w:t>
            </w:r>
          </w:p>
        </w:tc>
        <w:tc>
          <w:tcPr>
            <w:tcW w:type="dxa" w:w="1234"/>
          </w:tcPr>
          <w:p>
            <w:r>
              <w:rPr>
                <w:rFonts w:ascii="Calibri" w:hAnsi="Calibri"/>
                <w:sz w:val="22"/>
              </w:rPr>
              <w:t>$444M</w:t>
            </w:r>
          </w:p>
        </w:tc>
        <w:tc>
          <w:tcPr>
            <w:tcW w:type="dxa" w:w="1234"/>
          </w:tcPr>
          <w:p>
            <w:r>
              <w:rPr>
                <w:rFonts w:ascii="Calibri" w:hAnsi="Calibri"/>
                <w:sz w:val="22"/>
              </w:rPr>
              <w:t>$456M</w:t>
            </w:r>
          </w:p>
        </w:tc>
        <w:tc>
          <w:tcPr>
            <w:tcW w:type="dxa" w:w="1234"/>
          </w:tcPr>
          <w:p>
            <w:r>
              <w:rPr>
                <w:rFonts w:ascii="Calibri" w:hAnsi="Calibri"/>
                <w:b/>
                <w:color w:val="30A46C"/>
                <w:sz w:val="22"/>
              </w:rPr>
              <w:t>+2.7%</w:t>
            </w:r>
          </w:p>
        </w:tc>
        <w:tc>
          <w:tcPr>
            <w:tcW w:type="dxa" w:w="1234"/>
          </w:tcPr>
          <w:p>
            <w:r>
              <w:rPr>
                <w:rFonts w:ascii="Calibri" w:hAnsi="Calibri"/>
                <w:sz w:val="22"/>
              </w:rPr>
              <w:t>$1,970M (FY midpoint)</w:t>
            </w:r>
          </w:p>
        </w:tc>
        <w:tc>
          <w:tcPr>
            <w:tcW w:type="dxa" w:w="1234"/>
          </w:tcPr>
          <w:p>
            <w:r>
              <w:rPr>
                <w:rFonts w:ascii="Calibri" w:hAnsi="Calibri"/>
                <w:sz w:val="22"/>
              </w:rPr>
              <w:t>~+0.5% above FY run-rate</w:t>
            </w:r>
          </w:p>
        </w:tc>
      </w:tr>
      <w:tr>
        <w:tc>
          <w:tcPr>
            <w:tcW w:type="dxa" w:w="1234"/>
          </w:tcPr>
          <w:p>
            <w:r>
              <w:rPr>
                <w:rFonts w:ascii="Calibri" w:hAnsi="Calibri"/>
                <w:sz w:val="22"/>
              </w:rPr>
              <w:t>AFFO per Share ($)</w:t>
            </w:r>
          </w:p>
        </w:tc>
        <w:tc>
          <w:tcPr>
            <w:tcW w:type="dxa" w:w="1234"/>
          </w:tcPr>
          <w:p>
            <w:r>
              <w:rPr>
                <w:rFonts w:ascii="Calibri" w:hAnsi="Calibri"/>
                <w:sz w:val="22"/>
              </w:rPr>
              <w:t>$1.02</w:t>
            </w:r>
          </w:p>
        </w:tc>
        <w:tc>
          <w:tcPr>
            <w:tcW w:type="dxa" w:w="1234"/>
          </w:tcPr>
          <w:p>
            <w:r>
              <w:rPr>
                <w:rFonts w:ascii="Calibri" w:hAnsi="Calibri"/>
                <w:sz w:val="22"/>
              </w:rPr>
              <w:t>$1.02</w:t>
            </w:r>
          </w:p>
        </w:tc>
        <w:tc>
          <w:tcPr>
            <w:tcW w:type="dxa" w:w="1234"/>
          </w:tcPr>
          <w:p>
            <w:r>
              <w:rPr>
                <w:rFonts w:ascii="Calibri" w:hAnsi="Calibri"/>
                <w:sz w:val="22"/>
              </w:rPr>
              <w:t>$1.05</w:t>
            </w:r>
          </w:p>
        </w:tc>
        <w:tc>
          <w:tcPr>
            <w:tcW w:type="dxa" w:w="1234"/>
          </w:tcPr>
          <w:p>
            <w:r>
              <w:rPr>
                <w:rFonts w:ascii="Calibri" w:hAnsi="Calibri"/>
                <w:b/>
                <w:color w:val="30A46C"/>
                <w:sz w:val="22"/>
              </w:rPr>
              <w:t>+2.9%</w:t>
            </w:r>
          </w:p>
        </w:tc>
        <w:tc>
          <w:tcPr>
            <w:tcW w:type="dxa" w:w="1234"/>
          </w:tcPr>
          <w:p>
            <w:r>
              <w:rPr>
                <w:rFonts w:ascii="Calibri" w:hAnsi="Calibri"/>
                <w:sz w:val="22"/>
              </w:rPr>
              <w:t>$4.59 (FY midpoint)</w:t>
            </w:r>
          </w:p>
        </w:tc>
        <w:tc>
          <w:tcPr>
            <w:tcW w:type="dxa" w:w="1234"/>
          </w:tcPr>
          <w:p>
            <w:r>
              <w:rPr>
                <w:rFonts w:ascii="Calibri" w:hAnsi="Calibri"/>
                <w:sz w:val="22"/>
              </w:rPr>
              <w:t>~+0.4% above FY run-rate</w:t>
            </w:r>
          </w:p>
        </w:tc>
      </w:tr>
      <w:tr>
        <w:tc>
          <w:tcPr>
            <w:tcW w:type="dxa" w:w="1234"/>
          </w:tcPr>
          <w:p>
            <w:r>
              <w:rPr>
                <w:rFonts w:ascii="Calibri" w:hAnsi="Calibri"/>
                <w:sz w:val="22"/>
              </w:rPr>
              <w:t>Adjusted EBITDA ($M)</w:t>
            </w:r>
          </w:p>
        </w:tc>
        <w:tc>
          <w:tcPr>
            <w:tcW w:type="dxa" w:w="1234"/>
          </w:tcPr>
          <w:p>
            <w:r>
              <w:rPr>
                <w:rFonts w:ascii="Calibri" w:hAnsi="Calibri"/>
                <w:sz w:val="22"/>
              </w:rPr>
              <w:t>$676M</w:t>
            </w:r>
          </w:p>
        </w:tc>
        <w:tc>
          <w:tcPr>
            <w:tcW w:type="dxa" w:w="1234"/>
          </w:tcPr>
          <w:p>
            <w:r>
              <w:rPr>
                <w:rFonts w:ascii="Calibri" w:hAnsi="Calibri"/>
                <w:sz w:val="22"/>
              </w:rPr>
              <w:t>$705M</w:t>
            </w:r>
          </w:p>
        </w:tc>
        <w:tc>
          <w:tcPr>
            <w:tcW w:type="dxa" w:w="1234"/>
          </w:tcPr>
          <w:p>
            <w:r>
              <w:rPr>
                <w:rFonts w:ascii="Calibri" w:hAnsi="Calibri"/>
                <w:sz w:val="22"/>
              </w:rPr>
              <w:t>$656M</w:t>
            </w:r>
          </w:p>
        </w:tc>
        <w:tc>
          <w:tcPr>
            <w:tcW w:type="dxa" w:w="1234"/>
          </w:tcPr>
          <w:p>
            <w:r>
              <w:rPr>
                <w:rFonts w:ascii="Calibri" w:hAnsi="Calibri"/>
                <w:b/>
                <w:color w:val="E5484D"/>
                <w:sz w:val="22"/>
              </w:rPr>
              <w:t>−7.0%</w:t>
            </w:r>
          </w:p>
        </w:tc>
        <w:tc>
          <w:tcPr>
            <w:tcW w:type="dxa" w:w="1234"/>
          </w:tcPr>
          <w:p>
            <w:r>
              <w:rPr>
                <w:rFonts w:ascii="Calibri" w:hAnsi="Calibri"/>
                <w:sz w:val="22"/>
              </w:rPr>
              <w:t>$2,690M (FY midpoint)</w:t>
            </w:r>
          </w:p>
        </w:tc>
        <w:tc>
          <w:tcPr>
            <w:tcW w:type="dxa" w:w="1234"/>
          </w:tcPr>
          <w:p>
            <w:r>
              <w:rPr>
                <w:rFonts w:ascii="Calibri" w:hAnsi="Calibri"/>
                <w:sz w:val="22"/>
              </w:rPr>
              <w:t>~−0.5% below FY run-rate</w:t>
            </w:r>
          </w:p>
        </w:tc>
      </w:tr>
      <w:tr>
        <w:tc>
          <w:tcPr>
            <w:tcW w:type="dxa" w:w="1234"/>
          </w:tcPr>
          <w:p>
            <w:r>
              <w:rPr>
                <w:rFonts w:ascii="Calibri" w:hAnsi="Calibri"/>
                <w:sz w:val="22"/>
              </w:rPr>
              <w:t>Organic Contribution Growth (%)</w:t>
            </w:r>
          </w:p>
        </w:tc>
        <w:tc>
          <w:tcPr>
            <w:tcW w:type="dxa" w:w="1234"/>
          </w:tcPr>
          <w:p>
            <w:r>
              <w:rPr>
                <w:rFonts w:ascii="Calibri" w:hAnsi="Calibri"/>
                <w:sz w:val="22"/>
              </w:rPr>
              <w:t>−2.1%</w:t>
            </w:r>
          </w:p>
        </w:tc>
        <w:tc>
          <w:tcPr>
            <w:tcW w:type="dxa" w:w="1234"/>
          </w:tcPr>
          <w:p>
            <w:r>
              <w:rPr>
                <w:rFonts w:ascii="Calibri" w:hAnsi="Calibri"/>
                <w:sz w:val="22"/>
              </w:rPr>
              <w:t>−0.6%</w:t>
            </w:r>
          </w:p>
        </w:tc>
        <w:tc>
          <w:tcPr>
            <w:tcW w:type="dxa" w:w="1234"/>
          </w:tcPr>
          <w:p>
            <w:r>
              <w:rPr>
                <w:rFonts w:ascii="Calibri" w:hAnsi="Calibri"/>
                <w:sz w:val="22"/>
              </w:rPr>
              <w:t>−2.9%</w:t>
            </w:r>
          </w:p>
        </w:tc>
        <w:tc>
          <w:tcPr>
            <w:tcW w:type="dxa" w:w="1234"/>
          </w:tcPr>
          <w:p>
            <w:r>
              <w:rPr>
                <w:rFonts w:ascii="Calibri" w:hAnsi="Calibri"/>
                <w:b/>
                <w:color w:val="E5484D"/>
                <w:sz w:val="22"/>
              </w:rPr>
              <w:t>−2.3pp YoY</w:t>
            </w:r>
          </w:p>
        </w:tc>
        <w:tc>
          <w:tcPr>
            <w:tcW w:type="dxa" w:w="1234"/>
          </w:tcPr>
          <w:p>
            <w:r>
              <w:rPr>
                <w:rFonts w:ascii="Calibri" w:hAnsi="Calibri"/>
                <w:sz w:val="22"/>
              </w:rPr>
              <w:t>−2.6% (FY)</w:t>
            </w:r>
          </w:p>
        </w:tc>
        <w:tc>
          <w:tcPr>
            <w:tcW w:type="dxa" w:w="1234"/>
          </w:tcPr>
          <w:p>
            <w:r>
              <w:rPr>
                <w:rFonts w:ascii="Calibri" w:hAnsi="Calibri"/>
                <w:sz w:val="22"/>
              </w:rPr>
              <w:t>~−0.3pp below FY avg</w:t>
            </w:r>
          </w:p>
        </w:tc>
      </w:tr>
      <w:tr>
        <w:tc>
          <w:tcPr>
            <w:tcW w:type="dxa" w:w="1234"/>
          </w:tcPr>
          <w:p>
            <w:r>
              <w:rPr>
                <w:rFonts w:ascii="Calibri" w:hAnsi="Calibri"/>
                <w:sz w:val="22"/>
              </w:rPr>
              <w:t>Organic Tower Growth (%)</w:t>
            </w:r>
          </w:p>
        </w:tc>
        <w:tc>
          <w:tcPr>
            <w:tcW w:type="dxa" w:w="1234"/>
          </w:tcPr>
          <w:p>
            <w:r>
              <w:rPr>
                <w:rFonts w:ascii="Calibri" w:hAnsi="Calibri"/>
                <w:sz w:val="22"/>
              </w:rPr>
              <w:t>−2.4%</w:t>
            </w:r>
          </w:p>
        </w:tc>
        <w:tc>
          <w:tcPr>
            <w:tcW w:type="dxa" w:w="1234"/>
          </w:tcPr>
          <w:p>
            <w:r>
              <w:rPr>
                <w:rFonts w:ascii="Calibri" w:hAnsi="Calibri"/>
                <w:sz w:val="22"/>
              </w:rPr>
              <w:t>−0.6%</w:t>
            </w:r>
          </w:p>
        </w:tc>
        <w:tc>
          <w:tcPr>
            <w:tcW w:type="dxa" w:w="1234"/>
          </w:tcPr>
          <w:p>
            <w:r>
              <w:rPr>
                <w:rFonts w:ascii="Calibri" w:hAnsi="Calibri"/>
                <w:sz w:val="22"/>
              </w:rPr>
              <w:t>−2.1%</w:t>
            </w:r>
          </w:p>
        </w:tc>
        <w:tc>
          <w:tcPr>
            <w:tcW w:type="dxa" w:w="1234"/>
          </w:tcPr>
          <w:p>
            <w:r>
              <w:rPr>
                <w:rFonts w:ascii="Calibri" w:hAnsi="Calibri"/>
                <w:b/>
                <w:color w:val="E5484D"/>
                <w:sz w:val="22"/>
              </w:rPr>
              <w:t>−1.5pp YoY</w:t>
            </w:r>
          </w:p>
        </w:tc>
        <w:tc>
          <w:tcPr>
            <w:tcW w:type="dxa" w:w="1234"/>
          </w:tcPr>
          <w:p>
            <w:r>
              <w:rPr>
                <w:rFonts w:ascii="Calibri" w:hAnsi="Calibri"/>
                <w:sz w:val="22"/>
              </w:rPr>
              <w:t>−1.9% (FY)</w:t>
            </w:r>
          </w:p>
        </w:tc>
        <w:tc>
          <w:tcPr>
            <w:tcW w:type="dxa" w:w="1234"/>
          </w:tcPr>
          <w:p>
            <w:r>
              <w:rPr>
                <w:rFonts w:ascii="Calibri" w:hAnsi="Calibri"/>
                <w:sz w:val="22"/>
              </w:rPr>
              <w:t>~−0.2pp below FY avg</w:t>
            </w:r>
          </w:p>
        </w:tc>
      </w:tr>
      <w:tr>
        <w:tc>
          <w:tcPr>
            <w:tcW w:type="dxa" w:w="1234"/>
          </w:tcPr>
          <w:p>
            <w:r>
              <w:rPr>
                <w:rFonts w:ascii="Calibri" w:hAnsi="Calibri"/>
                <w:sz w:val="22"/>
              </w:rPr>
              <w:t>Capital Expenditures ($M)</w:t>
            </w:r>
          </w:p>
        </w:tc>
        <w:tc>
          <w:tcPr>
            <w:tcW w:type="dxa" w:w="1234"/>
          </w:tcPr>
          <w:p>
            <w:r>
              <w:rPr>
                <w:rFonts w:ascii="Calibri" w:hAnsi="Calibri"/>
                <w:sz w:val="22"/>
              </w:rPr>
              <w:t>$57M</w:t>
            </w:r>
          </w:p>
        </w:tc>
        <w:tc>
          <w:tcPr>
            <w:tcW w:type="dxa" w:w="1234"/>
          </w:tcPr>
          <w:p>
            <w:r>
              <w:rPr>
                <w:rFonts w:ascii="Calibri" w:hAnsi="Calibri"/>
                <w:sz w:val="22"/>
              </w:rPr>
              <w:t>$40M</w:t>
            </w:r>
          </w:p>
        </w:tc>
        <w:tc>
          <w:tcPr>
            <w:tcW w:type="dxa" w:w="1234"/>
          </w:tcPr>
          <w:p>
            <w:r>
              <w:rPr>
                <w:rFonts w:ascii="Calibri" w:hAnsi="Calibri"/>
                <w:sz w:val="22"/>
              </w:rPr>
              <w:t>$54M</w:t>
            </w:r>
          </w:p>
        </w:tc>
        <w:tc>
          <w:tcPr>
            <w:tcW w:type="dxa" w:w="1234"/>
          </w:tcPr>
          <w:p>
            <w:r>
              <w:rPr>
                <w:rFonts w:ascii="Calibri" w:hAnsi="Calibri"/>
                <w:sz w:val="22"/>
              </w:rPr>
              <w:t>+35% YoY</w:t>
            </w:r>
          </w:p>
        </w:tc>
        <w:tc>
          <w:tcPr>
            <w:tcW w:type="dxa" w:w="1234"/>
          </w:tcPr>
          <w:p>
            <w:r>
              <w:rPr>
                <w:rFonts w:ascii="Calibri" w:hAnsi="Calibri"/>
                <w:sz w:val="22"/>
              </w:rPr>
              <w:t>$200M (FY midpoint)</w:t>
            </w:r>
          </w:p>
        </w:tc>
        <w:tc>
          <w:tcPr>
            <w:tcW w:type="dxa" w:w="1234"/>
          </w:tcPr>
          <w:p>
            <w:r>
              <w:rPr>
                <w:rFonts w:ascii="Calibri" w:hAnsi="Calibri"/>
                <w:sz w:val="22"/>
              </w:rPr>
              <w:t>On track vs. FY guide</w:t>
            </w:r>
          </w:p>
        </w:tc>
      </w:tr>
    </w:tbl>
    <w:p>
      <w:r>
        <w:rPr>
          <w:rFonts w:ascii="Calibri" w:hAnsi="Calibri"/>
          <w:color w:val="525866"/>
          <w:sz w:val="22"/>
        </w:rPr>
        <w:t>Source: Visible Alpha Consensus and Actuals Data. All consensus figures as of July 21, 2026. FY 2026 guidance midpoints per May 1, 2026 updated guidance (8-K EX-99.1). AFFO/share FY midpoint = ($4.53+$4.65)/2 = $4.59.</w:t>
      </w:r>
    </w:p>
    <w:p>
      <w:pPr>
        <w:pStyle w:val="Heading3"/>
      </w:pPr>
      <w:r>
        <w:rPr>
          <w:rFonts w:ascii="Calibri" w:hAnsi="Calibri"/>
          <w:b/>
          <w:color w:val="3B4259"/>
          <w:sz w:val="24"/>
        </w:rPr>
        <w:t>Table 2 — Beat/Miss History (Last 8 Quarters — AFFO per Share &amp; Site Rental Revenue)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AFFO/Share Reported</w:t>
            </w:r>
          </w:p>
        </w:tc>
        <w:tc>
          <w:tcPr>
            <w:tcW w:type="dxa" w:w="1234"/>
            <w:shd w:val="clear" w:color="auto" w:fill="3B4259"/>
          </w:tcPr>
          <w:p>
            <w:r>
              <w:rPr>
                <w:rFonts w:ascii="Calibri" w:hAnsi="Calibri"/>
                <w:b/>
                <w:color w:val="FFFFFF"/>
                <w:sz w:val="22"/>
              </w:rPr>
              <w:t>AFFO/Share Consensus</w:t>
            </w:r>
          </w:p>
        </w:tc>
        <w:tc>
          <w:tcPr>
            <w:tcW w:type="dxa" w:w="1234"/>
            <w:shd w:val="clear" w:color="auto" w:fill="3B4259"/>
          </w:tcPr>
          <w:p>
            <w:r>
              <w:rPr>
                <w:rFonts w:ascii="Calibri" w:hAnsi="Calibri"/>
                <w:b/>
                <w:color w:val="FFFFFF"/>
                <w:sz w:val="22"/>
              </w:rPr>
              <w:t>AFFO Surprise %</w:t>
            </w:r>
          </w:p>
        </w:tc>
        <w:tc>
          <w:tcPr>
            <w:tcW w:type="dxa" w:w="1234"/>
            <w:shd w:val="clear" w:color="auto" w:fill="3B4259"/>
          </w:tcPr>
          <w:p>
            <w:r>
              <w:rPr>
                <w:rFonts w:ascii="Calibri" w:hAnsi="Calibri"/>
                <w:b/>
                <w:color w:val="FFFFFF"/>
                <w:sz w:val="22"/>
              </w:rPr>
              <w:t>Site Rental Rev Reported ($M)</w:t>
            </w:r>
          </w:p>
        </w:tc>
        <w:tc>
          <w:tcPr>
            <w:tcW w:type="dxa" w:w="1234"/>
            <w:shd w:val="clear" w:color="auto" w:fill="3B4259"/>
          </w:tcPr>
          <w:p>
            <w:r>
              <w:rPr>
                <w:rFonts w:ascii="Calibri" w:hAnsi="Calibri"/>
                <w:b/>
                <w:color w:val="FFFFFF"/>
                <w:sz w:val="22"/>
              </w:rPr>
              <w:t>Site Rental Rev Consensus ($M)</w:t>
            </w:r>
          </w:p>
        </w:tc>
        <w:tc>
          <w:tcPr>
            <w:tcW w:type="dxa" w:w="1234"/>
            <w:shd w:val="clear" w:color="auto" w:fill="3B4259"/>
          </w:tcPr>
          <w:p>
            <w:r>
              <w:rPr>
                <w:rFonts w:ascii="Calibri" w:hAnsi="Calibri"/>
                <w:b/>
                <w:color w:val="FFFFFF"/>
                <w:sz w:val="22"/>
              </w:rPr>
              <w:t>Rev Surprise %</w:t>
            </w:r>
          </w:p>
        </w:tc>
      </w:tr>
      <w:tr>
        <w:tc>
          <w:tcPr>
            <w:tcW w:type="dxa" w:w="1234"/>
          </w:tcPr>
          <w:p>
            <w:r>
              <w:rPr>
                <w:rFonts w:ascii="Calibri" w:hAnsi="Calibri"/>
                <w:sz w:val="22"/>
              </w:rPr>
              <w:t>Q2 2024</w:t>
            </w:r>
          </w:p>
        </w:tc>
        <w:tc>
          <w:tcPr>
            <w:tcW w:type="dxa" w:w="1234"/>
          </w:tcPr>
          <w:p>
            <w:r>
              <w:rPr>
                <w:rFonts w:ascii="Calibri" w:hAnsi="Calibri"/>
                <w:sz w:val="22"/>
              </w:rPr>
              <w:t>$1.62</w:t>
            </w:r>
          </w:p>
        </w:tc>
        <w:tc>
          <w:tcPr>
            <w:tcW w:type="dxa" w:w="1234"/>
          </w:tcPr>
          <w:p>
            <w:r>
              <w:rPr>
                <w:rFonts w:ascii="Calibri" w:hAnsi="Calibri"/>
                <w:sz w:val="22"/>
              </w:rPr>
              <w:t>$1.66</w:t>
            </w:r>
          </w:p>
        </w:tc>
        <w:tc>
          <w:tcPr>
            <w:tcW w:type="dxa" w:w="1234"/>
          </w:tcPr>
          <w:p>
            <w:r>
              <w:rPr>
                <w:rFonts w:ascii="Calibri" w:hAnsi="Calibri"/>
                <w:b/>
                <w:color w:val="E5484D"/>
                <w:sz w:val="22"/>
              </w:rPr>
              <w:t>−2.4%</w:t>
            </w:r>
          </w:p>
        </w:tc>
        <w:tc>
          <w:tcPr>
            <w:tcW w:type="dxa" w:w="1234"/>
          </w:tcPr>
          <w:p>
            <w:r>
              <w:rPr>
                <w:rFonts w:ascii="Calibri" w:hAnsi="Calibri"/>
                <w:sz w:val="22"/>
              </w:rPr>
              <w:t>$1,580M</w:t>
            </w:r>
          </w:p>
        </w:tc>
        <w:tc>
          <w:tcPr>
            <w:tcW w:type="dxa" w:w="1234"/>
          </w:tcPr>
          <w:p>
            <w:r>
              <w:rPr>
                <w:rFonts w:ascii="Calibri" w:hAnsi="Calibri"/>
                <w:sz w:val="22"/>
              </w:rPr>
              <w:t>$1,565M</w:t>
            </w:r>
          </w:p>
        </w:tc>
        <w:tc>
          <w:tcPr>
            <w:tcW w:type="dxa" w:w="1234"/>
          </w:tcPr>
          <w:p>
            <w:r>
              <w:rPr>
                <w:rFonts w:ascii="Calibri" w:hAnsi="Calibri"/>
                <w:b/>
                <w:color w:val="30A46C"/>
                <w:sz w:val="22"/>
              </w:rPr>
              <w:t>+1.0%</w:t>
            </w:r>
          </w:p>
        </w:tc>
      </w:tr>
      <w:tr>
        <w:tc>
          <w:tcPr>
            <w:tcW w:type="dxa" w:w="1234"/>
          </w:tcPr>
          <w:p>
            <w:r>
              <w:rPr>
                <w:rFonts w:ascii="Calibri" w:hAnsi="Calibri"/>
                <w:sz w:val="22"/>
              </w:rPr>
              <w:t>Q3 2024</w:t>
            </w:r>
          </w:p>
        </w:tc>
        <w:tc>
          <w:tcPr>
            <w:tcW w:type="dxa" w:w="1234"/>
          </w:tcPr>
          <w:p>
            <w:r>
              <w:rPr>
                <w:rFonts w:ascii="Calibri" w:hAnsi="Calibri"/>
                <w:sz w:val="22"/>
              </w:rPr>
              <w:t>$1.84</w:t>
            </w:r>
          </w:p>
        </w:tc>
        <w:tc>
          <w:tcPr>
            <w:tcW w:type="dxa" w:w="1234"/>
          </w:tcPr>
          <w:p>
            <w:r>
              <w:rPr>
                <w:rFonts w:ascii="Calibri" w:hAnsi="Calibri"/>
                <w:sz w:val="22"/>
              </w:rPr>
              <w:t>$1.79</w:t>
            </w:r>
          </w:p>
        </w:tc>
        <w:tc>
          <w:tcPr>
            <w:tcW w:type="dxa" w:w="1234"/>
          </w:tcPr>
          <w:p>
            <w:r>
              <w:rPr>
                <w:rFonts w:ascii="Calibri" w:hAnsi="Calibri"/>
                <w:b/>
                <w:color w:val="30A46C"/>
                <w:sz w:val="22"/>
              </w:rPr>
              <w:t>+2.8%</w:t>
            </w:r>
          </w:p>
        </w:tc>
        <w:tc>
          <w:tcPr>
            <w:tcW w:type="dxa" w:w="1234"/>
          </w:tcPr>
          <w:p>
            <w:r>
              <w:rPr>
                <w:rFonts w:ascii="Calibri" w:hAnsi="Calibri"/>
                <w:sz w:val="22"/>
              </w:rPr>
              <w:t>$1,595M</w:t>
            </w:r>
          </w:p>
        </w:tc>
        <w:tc>
          <w:tcPr>
            <w:tcW w:type="dxa" w:w="1234"/>
          </w:tcPr>
          <w:p>
            <w:r>
              <w:rPr>
                <w:rFonts w:ascii="Calibri" w:hAnsi="Calibri"/>
                <w:sz w:val="22"/>
              </w:rPr>
              <w:t>$1,586M</w:t>
            </w:r>
          </w:p>
        </w:tc>
        <w:tc>
          <w:tcPr>
            <w:tcW w:type="dxa" w:w="1234"/>
          </w:tcPr>
          <w:p>
            <w:r>
              <w:rPr>
                <w:rFonts w:ascii="Calibri" w:hAnsi="Calibri"/>
                <w:b/>
                <w:color w:val="30A46C"/>
                <w:sz w:val="22"/>
              </w:rPr>
              <w:t>+0.6%</w:t>
            </w:r>
          </w:p>
        </w:tc>
      </w:tr>
      <w:tr>
        <w:tc>
          <w:tcPr>
            <w:tcW w:type="dxa" w:w="1234"/>
          </w:tcPr>
          <w:p>
            <w:r>
              <w:rPr>
                <w:rFonts w:ascii="Calibri" w:hAnsi="Calibri"/>
                <w:sz w:val="22"/>
              </w:rPr>
              <w:t>Q4 2024</w:t>
            </w:r>
          </w:p>
        </w:tc>
        <w:tc>
          <w:tcPr>
            <w:tcW w:type="dxa" w:w="1234"/>
          </w:tcPr>
          <w:p>
            <w:r>
              <w:rPr>
                <w:rFonts w:ascii="Calibri" w:hAnsi="Calibri"/>
                <w:sz w:val="22"/>
              </w:rPr>
              <w:t>$1.80</w:t>
            </w:r>
          </w:p>
        </w:tc>
        <w:tc>
          <w:tcPr>
            <w:tcW w:type="dxa" w:w="1234"/>
          </w:tcPr>
          <w:p>
            <w:r>
              <w:rPr>
                <w:rFonts w:ascii="Calibri" w:hAnsi="Calibri"/>
                <w:sz w:val="22"/>
              </w:rPr>
              <w:t>$1.82</w:t>
            </w:r>
          </w:p>
        </w:tc>
        <w:tc>
          <w:tcPr>
            <w:tcW w:type="dxa" w:w="1234"/>
          </w:tcPr>
          <w:p>
            <w:r>
              <w:rPr>
                <w:rFonts w:ascii="Calibri" w:hAnsi="Calibri"/>
                <w:b/>
                <w:color w:val="E5484D"/>
                <w:sz w:val="22"/>
              </w:rPr>
              <w:t>−1.1%</w:t>
            </w:r>
          </w:p>
        </w:tc>
        <w:tc>
          <w:tcPr>
            <w:tcW w:type="dxa" w:w="1234"/>
          </w:tcPr>
          <w:p>
            <w:r>
              <w:rPr>
                <w:rFonts w:ascii="Calibri" w:hAnsi="Calibri"/>
                <w:sz w:val="22"/>
              </w:rPr>
              <w:t>$1,597M</w:t>
            </w:r>
          </w:p>
        </w:tc>
        <w:tc>
          <w:tcPr>
            <w:tcW w:type="dxa" w:w="1234"/>
          </w:tcPr>
          <w:p>
            <w:r>
              <w:rPr>
                <w:rFonts w:ascii="Calibri" w:hAnsi="Calibri"/>
                <w:sz w:val="22"/>
              </w:rPr>
              <w:t>$1,590M</w:t>
            </w:r>
          </w:p>
        </w:tc>
        <w:tc>
          <w:tcPr>
            <w:tcW w:type="dxa" w:w="1234"/>
          </w:tcPr>
          <w:p>
            <w:r>
              <w:rPr>
                <w:rFonts w:ascii="Calibri" w:hAnsi="Calibri"/>
                <w:b/>
                <w:color w:val="30A46C"/>
                <w:sz w:val="22"/>
              </w:rPr>
              <w:t>+0.4%</w:t>
            </w:r>
          </w:p>
        </w:tc>
      </w:tr>
      <w:tr>
        <w:tc>
          <w:tcPr>
            <w:tcW w:type="dxa" w:w="1234"/>
          </w:tcPr>
          <w:p>
            <w:r>
              <w:rPr>
                <w:rFonts w:ascii="Calibri" w:hAnsi="Calibri"/>
                <w:sz w:val="22"/>
              </w:rPr>
              <w:t>Q1 2025</w:t>
            </w:r>
          </w:p>
        </w:tc>
        <w:tc>
          <w:tcPr>
            <w:tcW w:type="dxa" w:w="1234"/>
          </w:tcPr>
          <w:p>
            <w:r>
              <w:rPr>
                <w:rFonts w:ascii="Calibri" w:hAnsi="Calibri"/>
                <w:sz w:val="22"/>
              </w:rPr>
              <w:t>$1.10</w:t>
            </w:r>
          </w:p>
        </w:tc>
        <w:tc>
          <w:tcPr>
            <w:tcW w:type="dxa" w:w="1234"/>
          </w:tcPr>
          <w:p>
            <w:r>
              <w:rPr>
                <w:rFonts w:ascii="Calibri" w:hAnsi="Calibri"/>
                <w:sz w:val="22"/>
              </w:rPr>
              <w:t>$1.01</w:t>
            </w:r>
          </w:p>
        </w:tc>
        <w:tc>
          <w:tcPr>
            <w:tcW w:type="dxa" w:w="1234"/>
          </w:tcPr>
          <w:p>
            <w:r>
              <w:rPr>
                <w:rFonts w:ascii="Calibri" w:hAnsi="Calibri"/>
                <w:b/>
                <w:color w:val="30A46C"/>
                <w:sz w:val="22"/>
              </w:rPr>
              <w:t>+8.9%</w:t>
            </w:r>
          </w:p>
        </w:tc>
        <w:tc>
          <w:tcPr>
            <w:tcW w:type="dxa" w:w="1234"/>
          </w:tcPr>
          <w:p>
            <w:r>
              <w:rPr>
                <w:rFonts w:ascii="Calibri" w:hAnsi="Calibri"/>
                <w:sz w:val="22"/>
              </w:rPr>
              <w:t>$1,011M</w:t>
            </w:r>
          </w:p>
        </w:tc>
        <w:tc>
          <w:tcPr>
            <w:tcW w:type="dxa" w:w="1234"/>
          </w:tcPr>
          <w:p>
            <w:r>
              <w:rPr>
                <w:rFonts w:ascii="Calibri" w:hAnsi="Calibri"/>
                <w:sz w:val="22"/>
              </w:rPr>
              <w:t>$992M</w:t>
            </w:r>
          </w:p>
        </w:tc>
        <w:tc>
          <w:tcPr>
            <w:tcW w:type="dxa" w:w="1234"/>
          </w:tcPr>
          <w:p>
            <w:r>
              <w:rPr>
                <w:rFonts w:ascii="Calibri" w:hAnsi="Calibri"/>
                <w:b/>
                <w:color w:val="30A46C"/>
                <w:sz w:val="22"/>
              </w:rPr>
              <w:t>+1.9%</w:t>
            </w:r>
          </w:p>
        </w:tc>
      </w:tr>
      <w:tr>
        <w:tc>
          <w:tcPr>
            <w:tcW w:type="dxa" w:w="1234"/>
          </w:tcPr>
          <w:p>
            <w:r>
              <w:rPr>
                <w:rFonts w:ascii="Calibri" w:hAnsi="Calibri"/>
                <w:sz w:val="22"/>
              </w:rPr>
              <w:t>Q2 2025</w:t>
            </w:r>
          </w:p>
        </w:tc>
        <w:tc>
          <w:tcPr>
            <w:tcW w:type="dxa" w:w="1234"/>
          </w:tcPr>
          <w:p>
            <w:r>
              <w:rPr>
                <w:rFonts w:ascii="Calibri" w:hAnsi="Calibri"/>
                <w:sz w:val="22"/>
              </w:rPr>
              <w:t>$1.02</w:t>
            </w:r>
          </w:p>
        </w:tc>
        <w:tc>
          <w:tcPr>
            <w:tcW w:type="dxa" w:w="1234"/>
          </w:tcPr>
          <w:p>
            <w:r>
              <w:rPr>
                <w:rFonts w:ascii="Calibri" w:hAnsi="Calibri"/>
                <w:sz w:val="22"/>
              </w:rPr>
              <w:t>$0.99</w:t>
            </w:r>
          </w:p>
        </w:tc>
        <w:tc>
          <w:tcPr>
            <w:tcW w:type="dxa" w:w="1234"/>
          </w:tcPr>
          <w:p>
            <w:r>
              <w:rPr>
                <w:rFonts w:ascii="Calibri" w:hAnsi="Calibri"/>
                <w:b/>
                <w:color w:val="30A46C"/>
                <w:sz w:val="22"/>
              </w:rPr>
              <w:t>+3.0%</w:t>
            </w:r>
          </w:p>
        </w:tc>
        <w:tc>
          <w:tcPr>
            <w:tcW w:type="dxa" w:w="1234"/>
          </w:tcPr>
          <w:p>
            <w:r>
              <w:rPr>
                <w:rFonts w:ascii="Calibri" w:hAnsi="Calibri"/>
                <w:sz w:val="22"/>
              </w:rPr>
              <w:t>$1,008M</w:t>
            </w:r>
          </w:p>
        </w:tc>
        <w:tc>
          <w:tcPr>
            <w:tcW w:type="dxa" w:w="1234"/>
          </w:tcPr>
          <w:p>
            <w:r>
              <w:rPr>
                <w:rFonts w:ascii="Calibri" w:hAnsi="Calibri"/>
                <w:sz w:val="22"/>
              </w:rPr>
              <w:t>$989M</w:t>
            </w:r>
          </w:p>
        </w:tc>
        <w:tc>
          <w:tcPr>
            <w:tcW w:type="dxa" w:w="1234"/>
          </w:tcPr>
          <w:p>
            <w:r>
              <w:rPr>
                <w:rFonts w:ascii="Calibri" w:hAnsi="Calibri"/>
                <w:b/>
                <w:color w:val="30A46C"/>
                <w:sz w:val="22"/>
              </w:rPr>
              <w:t>+1.9%</w:t>
            </w:r>
          </w:p>
        </w:tc>
      </w:tr>
      <w:tr>
        <w:tc>
          <w:tcPr>
            <w:tcW w:type="dxa" w:w="1234"/>
          </w:tcPr>
          <w:p>
            <w:r>
              <w:rPr>
                <w:rFonts w:ascii="Calibri" w:hAnsi="Calibri"/>
                <w:sz w:val="22"/>
              </w:rPr>
              <w:t>Q3 2025</w:t>
            </w:r>
          </w:p>
        </w:tc>
        <w:tc>
          <w:tcPr>
            <w:tcW w:type="dxa" w:w="1234"/>
          </w:tcPr>
          <w:p>
            <w:r>
              <w:rPr>
                <w:rFonts w:ascii="Calibri" w:hAnsi="Calibri"/>
                <w:sz w:val="22"/>
              </w:rPr>
              <w:t>$1.12</w:t>
            </w:r>
          </w:p>
        </w:tc>
        <w:tc>
          <w:tcPr>
            <w:tcW w:type="dxa" w:w="1234"/>
          </w:tcPr>
          <w:p>
            <w:r>
              <w:rPr>
                <w:rFonts w:ascii="Calibri" w:hAnsi="Calibri"/>
                <w:sz w:val="22"/>
              </w:rPr>
              <w:t>$1.05</w:t>
            </w:r>
          </w:p>
        </w:tc>
        <w:tc>
          <w:tcPr>
            <w:tcW w:type="dxa" w:w="1234"/>
          </w:tcPr>
          <w:p>
            <w:r>
              <w:rPr>
                <w:rFonts w:ascii="Calibri" w:hAnsi="Calibri"/>
                <w:b/>
                <w:color w:val="30A46C"/>
                <w:sz w:val="22"/>
              </w:rPr>
              <w:t>+6.7%</w:t>
            </w:r>
          </w:p>
        </w:tc>
        <w:tc>
          <w:tcPr>
            <w:tcW w:type="dxa" w:w="1234"/>
          </w:tcPr>
          <w:p>
            <w:r>
              <w:rPr>
                <w:rFonts w:ascii="Calibri" w:hAnsi="Calibri"/>
                <w:sz w:val="22"/>
              </w:rPr>
              <w:t>$1,012M</w:t>
            </w:r>
          </w:p>
        </w:tc>
        <w:tc>
          <w:tcPr>
            <w:tcW w:type="dxa" w:w="1234"/>
          </w:tcPr>
          <w:p>
            <w:r>
              <w:rPr>
                <w:rFonts w:ascii="Calibri" w:hAnsi="Calibri"/>
                <w:sz w:val="22"/>
              </w:rPr>
              <w:t>$1,002M</w:t>
            </w:r>
          </w:p>
        </w:tc>
        <w:tc>
          <w:tcPr>
            <w:tcW w:type="dxa" w:w="1234"/>
          </w:tcPr>
          <w:p>
            <w:r>
              <w:rPr>
                <w:rFonts w:ascii="Calibri" w:hAnsi="Calibri"/>
                <w:b/>
                <w:color w:val="30A46C"/>
                <w:sz w:val="22"/>
              </w:rPr>
              <w:t>+1.0%</w:t>
            </w:r>
          </w:p>
        </w:tc>
      </w:tr>
      <w:tr>
        <w:tc>
          <w:tcPr>
            <w:tcW w:type="dxa" w:w="1234"/>
          </w:tcPr>
          <w:p>
            <w:r>
              <w:rPr>
                <w:rFonts w:ascii="Calibri" w:hAnsi="Calibri"/>
                <w:sz w:val="22"/>
              </w:rPr>
              <w:t>Q4 2025</w:t>
            </w:r>
          </w:p>
        </w:tc>
        <w:tc>
          <w:tcPr>
            <w:tcW w:type="dxa" w:w="1234"/>
          </w:tcPr>
          <w:p>
            <w:r>
              <w:rPr>
                <w:rFonts w:ascii="Calibri" w:hAnsi="Calibri"/>
                <w:sz w:val="22"/>
              </w:rPr>
              <w:t>$1.12</w:t>
            </w:r>
          </w:p>
        </w:tc>
        <w:tc>
          <w:tcPr>
            <w:tcW w:type="dxa" w:w="1234"/>
          </w:tcPr>
          <w:p>
            <w:r>
              <w:rPr>
                <w:rFonts w:ascii="Calibri" w:hAnsi="Calibri"/>
                <w:sz w:val="22"/>
              </w:rPr>
              <w:t>$1.06</w:t>
            </w:r>
          </w:p>
        </w:tc>
        <w:tc>
          <w:tcPr>
            <w:tcW w:type="dxa" w:w="1234"/>
          </w:tcPr>
          <w:p>
            <w:r>
              <w:rPr>
                <w:rFonts w:ascii="Calibri" w:hAnsi="Calibri"/>
                <w:b/>
                <w:color w:val="30A46C"/>
                <w:sz w:val="22"/>
              </w:rPr>
              <w:t>+5.7%</w:t>
            </w:r>
          </w:p>
        </w:tc>
        <w:tc>
          <w:tcPr>
            <w:tcW w:type="dxa" w:w="1234"/>
          </w:tcPr>
          <w:p>
            <w:r>
              <w:rPr>
                <w:rFonts w:ascii="Calibri" w:hAnsi="Calibri"/>
                <w:sz w:val="22"/>
              </w:rPr>
              <w:t>$1,019M</w:t>
            </w:r>
          </w:p>
        </w:tc>
        <w:tc>
          <w:tcPr>
            <w:tcW w:type="dxa" w:w="1234"/>
          </w:tcPr>
          <w:p>
            <w:r>
              <w:rPr>
                <w:rFonts w:ascii="Calibri" w:hAnsi="Calibri"/>
                <w:sz w:val="22"/>
              </w:rPr>
              <w:t>$1,008M</w:t>
            </w:r>
          </w:p>
        </w:tc>
        <w:tc>
          <w:tcPr>
            <w:tcW w:type="dxa" w:w="1234"/>
          </w:tcPr>
          <w:p>
            <w:r>
              <w:rPr>
                <w:rFonts w:ascii="Calibri" w:hAnsi="Calibri"/>
                <w:b/>
                <w:color w:val="30A46C"/>
                <w:sz w:val="22"/>
              </w:rPr>
              <w:t>+1.1%</w:t>
            </w:r>
          </w:p>
        </w:tc>
      </w:tr>
      <w:tr>
        <w:tc>
          <w:tcPr>
            <w:tcW w:type="dxa" w:w="1234"/>
          </w:tcPr>
          <w:p>
            <w:r>
              <w:rPr>
                <w:rFonts w:ascii="Calibri" w:hAnsi="Calibri"/>
                <w:sz w:val="22"/>
              </w:rPr>
              <w:t>Q1 2026</w:t>
            </w:r>
          </w:p>
        </w:tc>
        <w:tc>
          <w:tcPr>
            <w:tcW w:type="dxa" w:w="1234"/>
          </w:tcPr>
          <w:p>
            <w:r>
              <w:rPr>
                <w:rFonts w:ascii="Calibri" w:hAnsi="Calibri"/>
                <w:sz w:val="22"/>
              </w:rPr>
              <w:t>$1.02</w:t>
            </w:r>
          </w:p>
        </w:tc>
        <w:tc>
          <w:tcPr>
            <w:tcW w:type="dxa" w:w="1234"/>
          </w:tcPr>
          <w:p>
            <w:r>
              <w:rPr>
                <w:rFonts w:ascii="Calibri" w:hAnsi="Calibri"/>
                <w:sz w:val="22"/>
              </w:rPr>
              <w:t>$0.98</w:t>
            </w:r>
          </w:p>
        </w:tc>
        <w:tc>
          <w:tcPr>
            <w:tcW w:type="dxa" w:w="1234"/>
          </w:tcPr>
          <w:p>
            <w:r>
              <w:rPr>
                <w:rFonts w:ascii="Calibri" w:hAnsi="Calibri"/>
                <w:b/>
                <w:color w:val="30A46C"/>
                <w:sz w:val="22"/>
              </w:rPr>
              <w:t>+4.1%</w:t>
            </w:r>
          </w:p>
        </w:tc>
        <w:tc>
          <w:tcPr>
            <w:tcW w:type="dxa" w:w="1234"/>
          </w:tcPr>
          <w:p>
            <w:r>
              <w:rPr>
                <w:rFonts w:ascii="Calibri" w:hAnsi="Calibri"/>
                <w:sz w:val="22"/>
              </w:rPr>
              <w:t>$961M</w:t>
            </w:r>
          </w:p>
        </w:tc>
        <w:tc>
          <w:tcPr>
            <w:tcW w:type="dxa" w:w="1234"/>
          </w:tcPr>
          <w:p>
            <w:r>
              <w:rPr>
                <w:rFonts w:ascii="Calibri" w:hAnsi="Calibri"/>
                <w:sz w:val="22"/>
              </w:rPr>
              <w:t>$945M</w:t>
            </w:r>
          </w:p>
        </w:tc>
        <w:tc>
          <w:tcPr>
            <w:tcW w:type="dxa" w:w="1234"/>
          </w:tcPr>
          <w:p>
            <w:r>
              <w:rPr>
                <w:rFonts w:ascii="Calibri" w:hAnsi="Calibri"/>
                <w:b/>
                <w:color w:val="30A46C"/>
                <w:sz w:val="22"/>
              </w:rPr>
              <w:t>+1.7%</w:t>
            </w:r>
          </w:p>
        </w:tc>
      </w:tr>
    </w:tbl>
    <w:p>
      <w:r>
        <w:rPr>
          <w:rFonts w:ascii="Calibri" w:hAnsi="Calibri"/>
          <w:b/>
          <w:color w:val="525866"/>
          <w:sz w:val="22"/>
        </w:rPr>
        <w:t xml:space="preserve">Source: Visible Alpha Consensus and Actuals Data. </w:t>
      </w:r>
      <w:r>
        <w:rPr>
          <w:rFonts w:ascii="Calibri" w:hAnsi="Calibri"/>
          <w:color w:val="525866"/>
          <w:sz w:val="22"/>
        </w:rPr>
        <w:t>Pattern: CCI has beaten AFFO/share consensus in 6 of the last 8 quarters, with the misses concentrated in Q2 2024 and Q4 2024 when restructuring charges and DISH-related write-offs created noise. Site rental revenues have beaten or met consensus in 7 of 8 quarters, suggesting the Street consistently under-models the revenue line. The consistent AFFO beat pattern (avg. ~+3–4% in recent quarters) sets a modest positive expectation for Q2 2026.</w:t>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w:t>
      </w:r>
      <w:r>
        <w:rPr>
          <w:rFonts w:ascii="Calibri" w:hAnsi="Calibri"/>
          <w:b/>
          <w:color w:val="525866"/>
          <w:sz w:val="22"/>
        </w:rPr>
        <w:t>formally revised upward on May 1, 2026</w:t>
      </w:r>
      <w:r>
        <w:rPr>
          <w:rFonts w:ascii="Calibri" w:hAnsi="Calibri"/>
          <w:color w:val="525866"/>
          <w:sz w:val="22"/>
        </w:rPr>
        <w:t xml:space="preserve"> following the earlier-than-expected fiber/small cell sale close, with AFFO raised by ~$50M at the midpoint. Since then, </w:t>
      </w:r>
      <w:r>
        <w:rPr>
          <w:rFonts w:ascii="Calibri" w:hAnsi="Calibri"/>
          <w:b/>
          <w:color w:val="525866"/>
          <w:sz w:val="22"/>
        </w:rPr>
        <w:t>no further formal guidance changes have been issued</w:t>
      </w:r>
      <w:r>
        <w:rPr>
          <w:rFonts w:ascii="Calibri" w:hAnsi="Calibri"/>
          <w:color w:val="525866"/>
          <w:sz w:val="22"/>
        </w:rPr>
        <w:t>, but management tone at the June 2026 Nareit conference shifted to cautious optimism on DISH/EchoStar and reaffirmed Q1 as the organic growth trough.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 22,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 (Jul 21, 2026)</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Site Rental Revenues (FY 2026)</w:t>
            </w:r>
          </w:p>
        </w:tc>
        <w:tc>
          <w:tcPr>
            <w:tcW w:type="dxa" w:w="1728"/>
          </w:tcPr>
          <w:p>
            <w:r>
              <w:rPr>
                <w:rFonts w:ascii="Calibri" w:hAnsi="Calibri"/>
                <w:sz w:val="22"/>
              </w:rPr>
              <w:t>$3,828M–$3,873M</w:t>
            </w:r>
          </w:p>
        </w:tc>
        <w:tc>
          <w:tcPr>
            <w:tcW w:type="dxa" w:w="1728"/>
          </w:tcPr>
          <w:p>
            <w:r>
              <w:rPr>
                <w:rFonts w:ascii="Calibri" w:hAnsi="Calibri"/>
                <w:sz w:val="22"/>
              </w:rPr>
              <w:t>Unchanged (May 1, 2026 8-K)</w:t>
            </w:r>
          </w:p>
        </w:tc>
        <w:tc>
          <w:tcPr>
            <w:tcW w:type="dxa" w:w="1728"/>
          </w:tcPr>
          <w:p>
            <w:r>
              <w:rPr>
                <w:rFonts w:ascii="Calibri" w:hAnsi="Calibri"/>
                <w:sz w:val="22"/>
              </w:rPr>
              <w:t>$3,853M</w:t>
            </w:r>
          </w:p>
        </w:tc>
        <w:tc>
          <w:tcPr>
            <w:tcW w:type="dxa" w:w="1728"/>
          </w:tcPr>
          <w:p>
            <w:r>
              <w:rPr>
                <w:rFonts w:ascii="Calibri" w:hAnsi="Calibri"/>
                <w:sz w:val="22"/>
              </w:rPr>
              <w:t>No change to revenue guidance; consensus near midpoint</w:t>
            </w:r>
          </w:p>
        </w:tc>
      </w:tr>
      <w:tr>
        <w:tc>
          <w:tcPr>
            <w:tcW w:type="dxa" w:w="1728"/>
          </w:tcPr>
          <w:p>
            <w:r>
              <w:rPr>
                <w:rFonts w:ascii="Calibri" w:hAnsi="Calibri"/>
                <w:sz w:val="22"/>
              </w:rPr>
              <w:t>Adjusted EBITDA (FY 2026)</w:t>
            </w:r>
          </w:p>
        </w:tc>
        <w:tc>
          <w:tcPr>
            <w:tcW w:type="dxa" w:w="1728"/>
          </w:tcPr>
          <w:p>
            <w:r>
              <w:rPr>
                <w:rFonts w:ascii="Calibri" w:hAnsi="Calibri"/>
                <w:sz w:val="22"/>
              </w:rPr>
              <w:t>$2,665M–$2,715M</w:t>
            </w:r>
          </w:p>
        </w:tc>
        <w:tc>
          <w:tcPr>
            <w:tcW w:type="dxa" w:w="1728"/>
          </w:tcPr>
          <w:p>
            <w:r>
              <w:rPr>
                <w:rFonts w:ascii="Calibri" w:hAnsi="Calibri"/>
                <w:sz w:val="22"/>
              </w:rPr>
              <w:t>Unchanged (May 1, 2026 8-K)</w:t>
            </w:r>
          </w:p>
        </w:tc>
        <w:tc>
          <w:tcPr>
            <w:tcW w:type="dxa" w:w="1728"/>
          </w:tcPr>
          <w:p>
            <w:r>
              <w:rPr>
                <w:rFonts w:ascii="Calibri" w:hAnsi="Calibri"/>
                <w:sz w:val="22"/>
              </w:rPr>
              <w:t>$2,704M</w:t>
            </w:r>
          </w:p>
        </w:tc>
        <w:tc>
          <w:tcPr>
            <w:tcW w:type="dxa" w:w="1728"/>
          </w:tcPr>
          <w:p>
            <w:r>
              <w:rPr>
                <w:rFonts w:ascii="Calibri" w:hAnsi="Calibri"/>
                <w:sz w:val="22"/>
              </w:rPr>
              <w:t>Consensus at midpoint; no post-May 1 revision</w:t>
            </w:r>
          </w:p>
        </w:tc>
      </w:tr>
      <w:tr>
        <w:tc>
          <w:tcPr>
            <w:tcW w:type="dxa" w:w="1728"/>
          </w:tcPr>
          <w:p>
            <w:r>
              <w:rPr>
                <w:rFonts w:ascii="Calibri" w:hAnsi="Calibri"/>
                <w:sz w:val="22"/>
              </w:rPr>
              <w:t>AFFO (FY 2026)</w:t>
            </w:r>
          </w:p>
        </w:tc>
        <w:tc>
          <w:tcPr>
            <w:tcW w:type="dxa" w:w="1728"/>
          </w:tcPr>
          <w:p>
            <w:r>
              <w:rPr>
                <w:rFonts w:ascii="Calibri" w:hAnsi="Calibri"/>
                <w:sz w:val="22"/>
              </w:rPr>
              <w:t>$1,895M–$1,945M (Apr 22)</w:t>
            </w:r>
          </w:p>
        </w:tc>
        <w:tc>
          <w:tcPr>
            <w:tcW w:type="dxa" w:w="1728"/>
          </w:tcPr>
          <w:p>
            <w:r>
              <w:rPr>
                <w:rFonts w:ascii="Calibri" w:hAnsi="Calibri"/>
                <w:sz w:val="22"/>
              </w:rPr>
              <w:t>↑ Raised to $1,945M–$1,995M (May 1, 2026 8-K); +$50M at midpoint</w:t>
            </w:r>
          </w:p>
        </w:tc>
        <w:tc>
          <w:tcPr>
            <w:tcW w:type="dxa" w:w="1728"/>
          </w:tcPr>
          <w:p>
            <w:r>
              <w:rPr>
                <w:rFonts w:ascii="Calibri" w:hAnsi="Calibri"/>
                <w:sz w:val="22"/>
              </w:rPr>
              <w:t>$1,960M</w:t>
            </w:r>
          </w:p>
        </w:tc>
        <w:tc>
          <w:tcPr>
            <w:tcW w:type="dxa" w:w="1728"/>
          </w:tcPr>
          <w:p>
            <w:r>
              <w:rPr>
                <w:rFonts w:ascii="Calibri" w:hAnsi="Calibri"/>
                <w:sz w:val="22"/>
              </w:rPr>
              <w:t>↑ Raised May 1, 2026 via 8-K; earlier fiber sale close reduced interest expense by ~$40M; consensus near midpoint</w:t>
            </w:r>
          </w:p>
        </w:tc>
      </w:tr>
      <w:tr>
        <w:tc>
          <w:tcPr>
            <w:tcW w:type="dxa" w:w="1728"/>
          </w:tcPr>
          <w:p>
            <w:r>
              <w:rPr>
                <w:rFonts w:ascii="Calibri" w:hAnsi="Calibri"/>
                <w:sz w:val="22"/>
              </w:rPr>
              <w:t>AFFO per Share (FY 2026)</w:t>
            </w:r>
          </w:p>
        </w:tc>
        <w:tc>
          <w:tcPr>
            <w:tcW w:type="dxa" w:w="1728"/>
          </w:tcPr>
          <w:p>
            <w:r>
              <w:rPr>
                <w:rFonts w:ascii="Calibri" w:hAnsi="Calibri"/>
                <w:sz w:val="22"/>
              </w:rPr>
              <w:t>$4.37–$4.49 (Apr 22)</w:t>
            </w:r>
          </w:p>
        </w:tc>
        <w:tc>
          <w:tcPr>
            <w:tcW w:type="dxa" w:w="1728"/>
          </w:tcPr>
          <w:p>
            <w:r>
              <w:rPr>
                <w:rFonts w:ascii="Calibri" w:hAnsi="Calibri"/>
                <w:sz w:val="22"/>
              </w:rPr>
              <w:t>↑ Raised to $4.53–$4.65 (May 1, 2026 8-K); +$0.16 at midpoint</w:t>
            </w:r>
          </w:p>
        </w:tc>
        <w:tc>
          <w:tcPr>
            <w:tcW w:type="dxa" w:w="1728"/>
          </w:tcPr>
          <w:p>
            <w:r>
              <w:rPr>
                <w:rFonts w:ascii="Calibri" w:hAnsi="Calibri"/>
                <w:sz w:val="22"/>
              </w:rPr>
              <w:t>$4.52</w:t>
            </w:r>
          </w:p>
        </w:tc>
        <w:tc>
          <w:tcPr>
            <w:tcW w:type="dxa" w:w="1728"/>
          </w:tcPr>
          <w:p>
            <w:r>
              <w:rPr>
                <w:rFonts w:ascii="Calibri" w:hAnsi="Calibri"/>
                <w:sz w:val="22"/>
              </w:rPr>
              <w:t>↑ Raised May 1, 2026; consensus near low end of revised range</w:t>
            </w:r>
          </w:p>
        </w:tc>
      </w:tr>
      <w:tr>
        <w:tc>
          <w:tcPr>
            <w:tcW w:type="dxa" w:w="1728"/>
          </w:tcPr>
          <w:p>
            <w:r>
              <w:rPr>
                <w:rFonts w:ascii="Calibri" w:hAnsi="Calibri"/>
                <w:sz w:val="22"/>
              </w:rPr>
              <w:t>Discretionary CapEx (FY 2026)</w:t>
            </w:r>
          </w:p>
        </w:tc>
        <w:tc>
          <w:tcPr>
            <w:tcW w:type="dxa" w:w="1728"/>
          </w:tcPr>
          <w:p>
            <w:r>
              <w:rPr>
                <w:rFonts w:ascii="Calibri" w:hAnsi="Calibri"/>
                <w:sz w:val="22"/>
              </w:rPr>
              <w:t>$150M–$250M ($200M midpoint)</w:t>
            </w:r>
          </w:p>
        </w:tc>
        <w:tc>
          <w:tcPr>
            <w:tcW w:type="dxa" w:w="1728"/>
          </w:tcPr>
          <w:p>
            <w:r>
              <w:rPr>
                <w:rFonts w:ascii="Calibri" w:hAnsi="Calibri"/>
                <w:sz w:val="22"/>
              </w:rPr>
              <w:t>Unchanged</w:t>
            </w:r>
          </w:p>
        </w:tc>
        <w:tc>
          <w:tcPr>
            <w:tcW w:type="dxa" w:w="1728"/>
          </w:tcPr>
          <w:p>
            <w:r>
              <w:rPr>
                <w:rFonts w:ascii="Calibri" w:hAnsi="Calibri"/>
                <w:sz w:val="22"/>
              </w:rPr>
              <w:t>$251M</w:t>
            </w:r>
          </w:p>
        </w:tc>
        <w:tc>
          <w:tcPr>
            <w:tcW w:type="dxa" w:w="1728"/>
          </w:tcPr>
          <w:p>
            <w:r>
              <w:rPr>
                <w:rFonts w:ascii="Calibri" w:hAnsi="Calibri"/>
                <w:sz w:val="22"/>
              </w:rPr>
              <w:t>Consensus slightly above midpoint; land acquisition spend tracking higher</w:t>
            </w:r>
          </w:p>
        </w:tc>
      </w:tr>
      <w:tr>
        <w:tc>
          <w:tcPr>
            <w:tcW w:type="dxa" w:w="1728"/>
          </w:tcPr>
          <w:p>
            <w:r>
              <w:rPr>
                <w:rFonts w:ascii="Calibri" w:hAnsi="Calibri"/>
                <w:sz w:val="22"/>
              </w:rPr>
              <w:t>Organic Growth ex-Sprint/DISH (FY 2026)</w:t>
            </w:r>
          </w:p>
        </w:tc>
        <w:tc>
          <w:tcPr>
            <w:tcW w:type="dxa" w:w="1728"/>
          </w:tcPr>
          <w:p>
            <w:r>
              <w:rPr>
                <w:rFonts w:ascii="Calibri" w:hAnsi="Calibri"/>
                <w:sz w:val="22"/>
              </w:rPr>
              <w:t>~3.5% (low point)</w:t>
            </w:r>
          </w:p>
        </w:tc>
        <w:tc>
          <w:tcPr>
            <w:tcW w:type="dxa" w:w="1728"/>
          </w:tcPr>
          <w:p>
            <w:r>
              <w:rPr>
                <w:rFonts w:ascii="Calibri" w:hAnsi="Calibri"/>
                <w:sz w:val="22"/>
              </w:rPr>
              <w:t>Reaffirmed at Nareit Jun 2, 2026 as trough</w:t>
            </w:r>
          </w:p>
        </w:tc>
        <w:tc>
          <w:tcPr>
            <w:tcW w:type="dxa" w:w="1728"/>
          </w:tcPr>
          <w:p>
            <w:r>
              <w:rPr>
                <w:rFonts w:ascii="Calibri" w:hAnsi="Calibri"/>
                <w:sz w:val="22"/>
              </w:rPr>
              <w:t>−2.6% (total incl. DISH/Sprint)</w:t>
            </w:r>
          </w:p>
        </w:tc>
        <w:tc>
          <w:tcPr>
            <w:tcW w:type="dxa" w:w="1728"/>
          </w:tcPr>
          <w:p>
            <w:r>
              <w:rPr>
                <w:rFonts w:ascii="Calibri" w:hAnsi="Calibri"/>
                <w:sz w:val="22"/>
              </w:rPr>
              <w:t>Nareit conference: mgmt reaffirmed Q1 2026 as low watermark; 2H loaded growth profile</w:t>
            </w:r>
          </w:p>
        </w:tc>
      </w:tr>
      <w:tr>
        <w:tc>
          <w:tcPr>
            <w:tcW w:type="dxa" w:w="1728"/>
          </w:tcPr>
          <w:p>
            <w:r>
              <w:rPr>
                <w:rFonts w:ascii="Calibri" w:hAnsi="Calibri"/>
                <w:sz w:val="22"/>
              </w:rPr>
              <w:t>DISH/EchoStar Litigation</w:t>
            </w:r>
          </w:p>
        </w:tc>
        <w:tc>
          <w:tcPr>
            <w:tcW w:type="dxa" w:w="1728"/>
          </w:tcPr>
          <w:p>
            <w:r>
              <w:rPr>
                <w:rFonts w:ascii="Calibri" w:hAnsi="Calibri"/>
                <w:sz w:val="22"/>
              </w:rPr>
              <w:t>Active litigation; “at least a year” to legal outcome</w:t>
            </w:r>
          </w:p>
        </w:tc>
        <w:tc>
          <w:tcPr>
            <w:tcW w:type="dxa" w:w="1728"/>
          </w:tcPr>
          <w:p>
            <w:r>
              <w:rPr>
                <w:rFonts w:ascii="Calibri" w:hAnsi="Calibri"/>
                <w:sz w:val="22"/>
              </w:rPr>
              <w:t>FCC set-aside established as “floor” (Nareit Jun 2026)</w:t>
            </w:r>
          </w:p>
        </w:tc>
        <w:tc>
          <w:tcPr>
            <w:tcW w:type="dxa" w:w="1728"/>
          </w:tcPr>
          <w:p>
            <w:r>
              <w:rPr>
                <w:rFonts w:ascii="Calibri" w:hAnsi="Calibri"/>
                <w:sz w:val="22"/>
              </w:rPr>
              <w:t>N/A (non-consensus item)</w:t>
            </w:r>
          </w:p>
        </w:tc>
        <w:tc>
          <w:tcPr>
            <w:tcW w:type="dxa" w:w="1728"/>
          </w:tcPr>
          <w:p>
            <w:r>
              <w:rPr>
                <w:rFonts w:ascii="Calibri" w:hAnsi="Calibri"/>
                <w:sz w:val="22"/>
              </w:rPr>
              <w:t>Tone shifted to cautious optimism; court judgment still required to access FCC proceeds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w:t>
      </w:r>
      <w:r>
        <w:rPr>
          <w:rFonts w:ascii="Calibri" w:hAnsi="Calibri"/>
          <w:b/>
          <w:color w:val="525866"/>
          <w:sz w:val="22"/>
        </w:rPr>
        <w:t>drifted modestly higher since the May 1 guidance raise</w:t>
      </w:r>
      <w:r>
        <w:rPr>
          <w:rFonts w:ascii="Calibri" w:hAnsi="Calibri"/>
          <w:color w:val="525866"/>
          <w:sz w:val="22"/>
        </w:rPr>
        <w:t xml:space="preserve">, with Q2 AFFO/share consensus rising from ~$1.01 (post-Q1 print baseline) to ~$1.05 today — tracking guidance well. The </w:t>
      </w:r>
      <w:r>
        <w:rPr>
          <w:rFonts w:ascii="Calibri" w:hAnsi="Calibri"/>
          <w:b/>
          <w:color w:val="525866"/>
          <w:sz w:val="22"/>
        </w:rPr>
        <w:t>FY 2026 AFFO consensus of $4.52 sits near the low end of the $4.53–$4.65 revised range</w:t>
      </w:r>
      <w:r>
        <w:rPr>
          <w:rFonts w:ascii="Calibri" w:hAnsi="Calibri"/>
          <w:color w:val="525866"/>
          <w:sz w:val="22"/>
        </w:rPr>
        <w:t>, suggesting the Street is not yet fully pricing in the upper end of management's interest expense savings.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~Apr 29, 2026 (Post-Q1 Baseline)</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22 Call)</w:t>
            </w:r>
          </w:p>
        </w:tc>
        <w:tc>
          <w:tcPr>
            <w:tcW w:type="dxa" w:w="1080"/>
            <w:shd w:val="clear" w:color="auto" w:fill="3B4259"/>
          </w:tcPr>
          <w:p>
            <w:r>
              <w:rPr>
                <w:rFonts w:ascii="Calibri" w:hAnsi="Calibri"/>
                <w:b/>
                <w:color w:val="FFFFFF"/>
                <w:sz w:val="22"/>
              </w:rPr>
              <w:t>Current Guidance (May 1 Update)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AFFO/Share — Q2 2026</w:t>
            </w:r>
          </w:p>
        </w:tc>
        <w:tc>
          <w:tcPr>
            <w:tcW w:type="dxa" w:w="1080"/>
          </w:tcPr>
          <w:p>
            <w:r>
              <w:rPr>
                <w:rFonts w:ascii="Calibri" w:hAnsi="Calibri"/>
                <w:sz w:val="22"/>
              </w:rPr>
              <w:t>$1.00</w:t>
            </w:r>
          </w:p>
        </w:tc>
        <w:tc>
          <w:tcPr>
            <w:tcW w:type="dxa" w:w="1080"/>
          </w:tcPr>
          <w:p>
            <w:r>
              <w:rPr>
                <w:rFonts w:ascii="Calibri" w:hAnsi="Calibri"/>
                <w:sz w:val="22"/>
              </w:rPr>
              <w:t>$1.05</w:t>
            </w:r>
          </w:p>
        </w:tc>
        <w:tc>
          <w:tcPr>
            <w:tcW w:type="dxa" w:w="1080"/>
          </w:tcPr>
          <w:p>
            <w:r>
              <w:rPr>
                <w:rFonts w:ascii="Calibri" w:hAnsi="Calibri"/>
                <w:b/>
                <w:color w:val="30A46C"/>
                <w:sz w:val="22"/>
              </w:rPr>
              <w:t>+4.7%</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AFFO/Share — FY 2026</w:t>
            </w:r>
          </w:p>
        </w:tc>
        <w:tc>
          <w:tcPr>
            <w:tcW w:type="dxa" w:w="1080"/>
          </w:tcPr>
          <w:p>
            <w:r>
              <w:rPr>
                <w:rFonts w:ascii="Calibri" w:hAnsi="Calibri"/>
                <w:sz w:val="22"/>
              </w:rPr>
              <w:t>$4.44</w:t>
            </w:r>
          </w:p>
        </w:tc>
        <w:tc>
          <w:tcPr>
            <w:tcW w:type="dxa" w:w="1080"/>
          </w:tcPr>
          <w:p>
            <w:r>
              <w:rPr>
                <w:rFonts w:ascii="Calibri" w:hAnsi="Calibri"/>
                <w:sz w:val="22"/>
              </w:rPr>
              <w:t>$4.52</w:t>
            </w:r>
          </w:p>
        </w:tc>
        <w:tc>
          <w:tcPr>
            <w:tcW w:type="dxa" w:w="1080"/>
          </w:tcPr>
          <w:p>
            <w:r>
              <w:rPr>
                <w:rFonts w:ascii="Calibri" w:hAnsi="Calibri"/>
                <w:b/>
                <w:color w:val="30A46C"/>
                <w:sz w:val="22"/>
              </w:rPr>
              <w:t>+1.8%</w:t>
            </w:r>
          </w:p>
        </w:tc>
        <w:tc>
          <w:tcPr>
            <w:tcW w:type="dxa" w:w="1080"/>
          </w:tcPr>
          <w:p>
            <w:r>
              <w:rPr>
                <w:rFonts w:ascii="Calibri" w:hAnsi="Calibri"/>
                <w:sz w:val="22"/>
              </w:rPr>
              <w:t>$4.37–$4.49</w:t>
            </w:r>
          </w:p>
        </w:tc>
        <w:tc>
          <w:tcPr>
            <w:tcW w:type="dxa" w:w="1080"/>
          </w:tcPr>
          <w:p>
            <w:r>
              <w:rPr>
                <w:rFonts w:ascii="Calibri" w:hAnsi="Calibri"/>
                <w:sz w:val="22"/>
              </w:rPr>
              <w:t>$4.53–$4.65</w:t>
            </w:r>
          </w:p>
        </w:tc>
        <w:tc>
          <w:tcPr>
            <w:tcW w:type="dxa" w:w="1080"/>
          </w:tcPr>
          <w:p>
            <w:r>
              <w:rPr>
                <w:rFonts w:ascii="Calibri" w:hAnsi="Calibri"/>
                <w:b/>
                <w:color w:val="30A46C"/>
                <w:sz w:val="22"/>
              </w:rPr>
              <w:t>+$0.16/share (+3.6%)</w:t>
            </w:r>
          </w:p>
        </w:tc>
        <w:tc>
          <w:tcPr>
            <w:tcW w:type="dxa" w:w="1080"/>
          </w:tcPr>
          <w:p>
            <w:r>
              <w:rPr>
                <w:rFonts w:ascii="Calibri" w:hAnsi="Calibri"/>
                <w:sz w:val="22"/>
              </w:rPr>
              <w:t>−1.5% below midpoint ($4.59)</w:t>
            </w:r>
          </w:p>
        </w:tc>
      </w:tr>
      <w:tr>
        <w:tc>
          <w:tcPr>
            <w:tcW w:type="dxa" w:w="1080"/>
          </w:tcPr>
          <w:p>
            <w:r>
              <w:rPr>
                <w:rFonts w:ascii="Calibri" w:hAnsi="Calibri"/>
                <w:sz w:val="22"/>
              </w:rPr>
              <w:t>Site Rental Revenue — Q2 2026</w:t>
            </w:r>
          </w:p>
        </w:tc>
        <w:tc>
          <w:tcPr>
            <w:tcW w:type="dxa" w:w="1080"/>
          </w:tcPr>
          <w:p>
            <w:r>
              <w:rPr>
                <w:rFonts w:ascii="Calibri" w:hAnsi="Calibri"/>
                <w:sz w:val="22"/>
              </w:rPr>
              <w:t>$943M</w:t>
            </w:r>
          </w:p>
        </w:tc>
        <w:tc>
          <w:tcPr>
            <w:tcW w:type="dxa" w:w="1080"/>
          </w:tcPr>
          <w:p>
            <w:r>
              <w:rPr>
                <w:rFonts w:ascii="Calibri" w:hAnsi="Calibri"/>
                <w:sz w:val="22"/>
              </w:rPr>
              <w:t>$942M</w:t>
            </w:r>
          </w:p>
        </w:tc>
        <w:tc>
          <w:tcPr>
            <w:tcW w:type="dxa" w:w="1080"/>
          </w:tcPr>
          <w:p>
            <w:r>
              <w:rPr>
                <w:rFonts w:ascii="Calibri" w:hAnsi="Calibri"/>
                <w:sz w:val="22"/>
              </w:rPr>
              <w:t>−0.1%</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Site Rental Revenue — FY 2026</w:t>
            </w:r>
          </w:p>
        </w:tc>
        <w:tc>
          <w:tcPr>
            <w:tcW w:type="dxa" w:w="1080"/>
          </w:tcPr>
          <w:p>
            <w:r>
              <w:rPr>
                <w:rFonts w:ascii="Calibri" w:hAnsi="Calibri"/>
                <w:sz w:val="22"/>
              </w:rPr>
              <w:t>$3,853M</w:t>
            </w:r>
          </w:p>
        </w:tc>
        <w:tc>
          <w:tcPr>
            <w:tcW w:type="dxa" w:w="1080"/>
          </w:tcPr>
          <w:p>
            <w:r>
              <w:rPr>
                <w:rFonts w:ascii="Calibri" w:hAnsi="Calibri"/>
                <w:sz w:val="22"/>
              </w:rPr>
              <w:t>$3,853M</w:t>
            </w:r>
          </w:p>
        </w:tc>
        <w:tc>
          <w:tcPr>
            <w:tcW w:type="dxa" w:w="1080"/>
          </w:tcPr>
          <w:p>
            <w:r>
              <w:rPr>
                <w:rFonts w:ascii="Calibri" w:hAnsi="Calibri"/>
                <w:sz w:val="22"/>
              </w:rPr>
              <w:t>Flat</w:t>
            </w:r>
          </w:p>
        </w:tc>
        <w:tc>
          <w:tcPr>
            <w:tcW w:type="dxa" w:w="1080"/>
          </w:tcPr>
          <w:p>
            <w:r>
              <w:rPr>
                <w:rFonts w:ascii="Calibri" w:hAnsi="Calibri"/>
                <w:sz w:val="22"/>
              </w:rPr>
              <w:t>$3,828M–$3,873M</w:t>
            </w:r>
          </w:p>
        </w:tc>
        <w:tc>
          <w:tcPr>
            <w:tcW w:type="dxa" w:w="1080"/>
          </w:tcPr>
          <w:p>
            <w:r>
              <w:rPr>
                <w:rFonts w:ascii="Calibri" w:hAnsi="Calibri"/>
                <w:sz w:val="22"/>
              </w:rPr>
              <w:t>$3,828M–$3,873M (unchanged)</w:t>
            </w:r>
          </w:p>
        </w:tc>
        <w:tc>
          <w:tcPr>
            <w:tcW w:type="dxa" w:w="1080"/>
          </w:tcPr>
          <w:p>
            <w:r>
              <w:rPr>
                <w:rFonts w:ascii="Calibri" w:hAnsi="Calibri"/>
                <w:sz w:val="22"/>
              </w:rPr>
              <w:t>No change</w:t>
            </w:r>
          </w:p>
        </w:tc>
        <w:tc>
          <w:tcPr>
            <w:tcW w:type="dxa" w:w="1080"/>
          </w:tcPr>
          <w:p>
            <w:r>
              <w:rPr>
                <w:rFonts w:ascii="Calibri" w:hAnsi="Calibri"/>
                <w:sz w:val="22"/>
              </w:rPr>
              <w:t>Near midpoint ($3,851M)</w:t>
            </w:r>
          </w:p>
        </w:tc>
      </w:tr>
      <w:tr>
        <w:tc>
          <w:tcPr>
            <w:tcW w:type="dxa" w:w="1080"/>
          </w:tcPr>
          <w:p>
            <w:r>
              <w:rPr>
                <w:rFonts w:ascii="Calibri" w:hAnsi="Calibri"/>
                <w:sz w:val="22"/>
              </w:rPr>
              <w:t>Organic Contribution Growth — Q2 2026</w:t>
            </w:r>
          </w:p>
        </w:tc>
        <w:tc>
          <w:tcPr>
            <w:tcW w:type="dxa" w:w="1080"/>
          </w:tcPr>
          <w:p>
            <w:r>
              <w:rPr>
                <w:rFonts w:ascii="Calibri" w:hAnsi="Calibri"/>
                <w:sz w:val="22"/>
              </w:rPr>
              <w:t>−2.81%</w:t>
            </w:r>
          </w:p>
        </w:tc>
        <w:tc>
          <w:tcPr>
            <w:tcW w:type="dxa" w:w="1080"/>
          </w:tcPr>
          <w:p>
            <w:r>
              <w:rPr>
                <w:rFonts w:ascii="Calibri" w:hAnsi="Calibri"/>
                <w:sz w:val="22"/>
              </w:rPr>
              <w:t>−2.86%</w:t>
            </w:r>
          </w:p>
        </w:tc>
        <w:tc>
          <w:tcPr>
            <w:tcW w:type="dxa" w:w="1080"/>
          </w:tcPr>
          <w:p>
            <w:r>
              <w:rPr>
                <w:rFonts w:ascii="Calibri" w:hAnsi="Calibri"/>
                <w:sz w:val="22"/>
              </w:rPr>
              <w:t>−0.05pp</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Organic Contribution Growth — FY 2026</w:t>
            </w:r>
          </w:p>
        </w:tc>
        <w:tc>
          <w:tcPr>
            <w:tcW w:type="dxa" w:w="1080"/>
          </w:tcPr>
          <w:p>
            <w:r>
              <w:rPr>
                <w:rFonts w:ascii="Calibri" w:hAnsi="Calibri"/>
                <w:sz w:val="22"/>
              </w:rPr>
              <w:t>−2.63%</w:t>
            </w:r>
          </w:p>
        </w:tc>
        <w:tc>
          <w:tcPr>
            <w:tcW w:type="dxa" w:w="1080"/>
          </w:tcPr>
          <w:p>
            <w:r>
              <w:rPr>
                <w:rFonts w:ascii="Calibri" w:hAnsi="Calibri"/>
                <w:sz w:val="22"/>
              </w:rPr>
              <w:t>−2.63%</w:t>
            </w:r>
          </w:p>
        </w:tc>
        <w:tc>
          <w:tcPr>
            <w:tcW w:type="dxa" w:w="1080"/>
          </w:tcPr>
          <w:p>
            <w:r>
              <w:rPr>
                <w:rFonts w:ascii="Calibri" w:hAnsi="Calibri"/>
                <w:sz w:val="22"/>
              </w:rPr>
              <w:t>Flat</w:t>
            </w:r>
          </w:p>
        </w:tc>
        <w:tc>
          <w:tcPr>
            <w:tcW w:type="dxa" w:w="1080"/>
          </w:tcPr>
          <w:p>
            <w:r>
              <w:rPr>
                <w:rFonts w:ascii="Calibri" w:hAnsi="Calibri"/>
                <w:sz w:val="22"/>
              </w:rPr>
              <w:t>~−2.6% implied</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In line with guidance</w:t>
            </w:r>
          </w:p>
        </w:tc>
      </w:tr>
    </w:tbl>
    <w:p>
      <w:r>
        <w:rPr>
          <w:rFonts w:ascii="Calibri" w:hAnsi="Calibri"/>
          <w:b/>
          <w:color w:val="525866"/>
          <w:sz w:val="22"/>
        </w:rPr>
        <w:t xml:space="preserve">Source: Visible Alpha Consensus and Actuals Data. </w:t>
      </w:r>
      <w:r>
        <w:rPr>
          <w:rFonts w:ascii="Calibri" w:hAnsi="Calibri"/>
          <w:color w:val="525866"/>
          <w:sz w:val="22"/>
        </w:rPr>
        <w:t>The revision trajectory is constructive: AFFO/share estimates have risen ~4.7% for Q2 and ~1.8% for FY since the post-Q1 baseline, driven by the May 1 guidance raise. Revenue estimates have been stable, consistent with management's unchanged revenue guidance. The gap between current FY AFFO consensus ($4.52) and the guidance midpoint ($4.59) represents modest upside if interest expense savings track to the high end of management's range.</w:t>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CCI has </w:t>
      </w:r>
      <w:r>
        <w:rPr>
          <w:rFonts w:ascii="Calibri" w:hAnsi="Calibri"/>
          <w:b/>
          <w:color w:val="525866"/>
          <w:sz w:val="22"/>
        </w:rPr>
        <w:t>underperformed VNQ by ~12pp and the S&amp;P 500 by ~15pp since the Q1 2026 earnings print</w:t>
      </w:r>
      <w:r>
        <w:rPr>
          <w:rFonts w:ascii="Calibri" w:hAnsi="Calibri"/>
          <w:color w:val="525866"/>
          <w:sz w:val="22"/>
        </w:rPr>
        <w:t xml:space="preserve"> on April 22, driven almost entirely by </w:t>
      </w:r>
      <w:r>
        <w:rPr>
          <w:rFonts w:ascii="Calibri" w:hAnsi="Calibri"/>
          <w:b/>
          <w:color w:val="525866"/>
          <w:sz w:val="22"/>
        </w:rPr>
        <w:t>multiple compression</w:t>
      </w:r>
      <w:r>
        <w:rPr>
          <w:rFonts w:ascii="Calibri" w:hAnsi="Calibri"/>
          <w:color w:val="525866"/>
          <w:sz w:val="22"/>
        </w:rPr>
        <w:t xml:space="preserve"> (EV/EBITDA contracted ~6% over 3 months) rather than estimate cuts — suggesting the market is discounting DISH litigation uncertainty and the organic growth trough rather than revising fundamentals lower.</w:t>
      </w:r>
    </w:p>
    <w:p>
      <w:r>
        <w:rPr>
          <w:rFonts w:ascii="Calibri" w:hAnsi="Calibri"/>
          <w:b/>
          <w:color w:val="525866"/>
          <w:sz w:val="22"/>
        </w:rPr>
        <w:t>Stock Performance Summary (April 22 – July 21,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Security</w:t>
            </w:r>
          </w:p>
        </w:tc>
        <w:tc>
          <w:tcPr>
            <w:tcW w:type="dxa" w:w="1728"/>
            <w:shd w:val="clear" w:color="auto" w:fill="3B4259"/>
          </w:tcPr>
          <w:p>
            <w:r>
              <w:rPr>
                <w:rFonts w:ascii="Calibri" w:hAnsi="Calibri"/>
                <w:b/>
                <w:color w:val="FFFFFF"/>
                <w:sz w:val="22"/>
              </w:rPr>
              <w:t>Price Apr 22, 2026</w:t>
            </w:r>
          </w:p>
        </w:tc>
        <w:tc>
          <w:tcPr>
            <w:tcW w:type="dxa" w:w="1728"/>
            <w:shd w:val="clear" w:color="auto" w:fill="3B4259"/>
          </w:tcPr>
          <w:p>
            <w:r>
              <w:rPr>
                <w:rFonts w:ascii="Calibri" w:hAnsi="Calibri"/>
                <w:b/>
                <w:color w:val="FFFFFF"/>
                <w:sz w:val="22"/>
              </w:rPr>
              <w:t>Price Jul 21, 2026</w:t>
            </w:r>
          </w:p>
        </w:tc>
        <w:tc>
          <w:tcPr>
            <w:tcW w:type="dxa" w:w="1728"/>
            <w:shd w:val="clear" w:color="auto" w:fill="3B4259"/>
          </w:tcPr>
          <w:p>
            <w:r>
              <w:rPr>
                <w:rFonts w:ascii="Calibri" w:hAnsi="Calibri"/>
                <w:b/>
                <w:color w:val="FFFFFF"/>
                <w:sz w:val="22"/>
              </w:rPr>
              <w:t>Return</w:t>
            </w:r>
          </w:p>
        </w:tc>
        <w:tc>
          <w:tcPr>
            <w:tcW w:type="dxa" w:w="1728"/>
            <w:shd w:val="clear" w:color="auto" w:fill="3B4259"/>
          </w:tcPr>
          <w:p>
            <w:r>
              <w:rPr>
                <w:rFonts w:ascii="Calibri" w:hAnsi="Calibri"/>
                <w:b/>
                <w:color w:val="FFFFFF"/>
                <w:sz w:val="22"/>
              </w:rPr>
              <w:t>Indexed (Base=100)</w:t>
            </w:r>
          </w:p>
        </w:tc>
      </w:tr>
      <w:tr>
        <w:tc>
          <w:tcPr>
            <w:tcW w:type="dxa" w:w="1728"/>
          </w:tcPr>
          <w:p>
            <w:r>
              <w:rPr>
                <w:rFonts w:ascii="Calibri" w:hAnsi="Calibri"/>
                <w:sz w:val="22"/>
              </w:rPr>
              <w:t>CCI</w:t>
            </w:r>
          </w:p>
        </w:tc>
        <w:tc>
          <w:tcPr>
            <w:tcW w:type="dxa" w:w="1728"/>
          </w:tcPr>
          <w:p>
            <w:r>
              <w:rPr>
                <w:rFonts w:ascii="Calibri" w:hAnsi="Calibri"/>
                <w:sz w:val="22"/>
              </w:rPr>
              <w:t>$86.01</w:t>
            </w:r>
          </w:p>
        </w:tc>
        <w:tc>
          <w:tcPr>
            <w:tcW w:type="dxa" w:w="1728"/>
          </w:tcPr>
          <w:p>
            <w:r>
              <w:rPr>
                <w:rFonts w:ascii="Calibri" w:hAnsi="Calibri"/>
                <w:sz w:val="22"/>
              </w:rPr>
              <w:t>$76.20</w:t>
            </w:r>
          </w:p>
        </w:tc>
        <w:tc>
          <w:tcPr>
            <w:tcW w:type="dxa" w:w="1728"/>
          </w:tcPr>
          <w:p>
            <w:r>
              <w:rPr>
                <w:rFonts w:ascii="Calibri" w:hAnsi="Calibri"/>
                <w:b/>
                <w:color w:val="E5484D"/>
                <w:sz w:val="22"/>
              </w:rPr>
              <w:t>−11.4%</w:t>
            </w:r>
          </w:p>
        </w:tc>
        <w:tc>
          <w:tcPr>
            <w:tcW w:type="dxa" w:w="1728"/>
          </w:tcPr>
          <w:p>
            <w:r>
              <w:rPr>
                <w:rFonts w:ascii="Calibri" w:hAnsi="Calibri"/>
                <w:sz w:val="22"/>
              </w:rPr>
              <w:t>88.6</w:t>
            </w:r>
          </w:p>
        </w:tc>
      </w:tr>
      <w:tr>
        <w:tc>
          <w:tcPr>
            <w:tcW w:type="dxa" w:w="1728"/>
          </w:tcPr>
          <w:p>
            <w:r>
              <w:rPr>
                <w:rFonts w:ascii="Calibri" w:hAnsi="Calibri"/>
                <w:sz w:val="22"/>
              </w:rPr>
              <w:t>VNQ (REIT ETF)</w:t>
            </w:r>
          </w:p>
        </w:tc>
        <w:tc>
          <w:tcPr>
            <w:tcW w:type="dxa" w:w="1728"/>
          </w:tcPr>
          <w:p>
            <w:r>
              <w:rPr>
                <w:rFonts w:ascii="Calibri" w:hAnsi="Calibri"/>
                <w:sz w:val="22"/>
              </w:rPr>
              <w:t>$94.52</w:t>
            </w:r>
          </w:p>
        </w:tc>
        <w:tc>
          <w:tcPr>
            <w:tcW w:type="dxa" w:w="1728"/>
          </w:tcPr>
          <w:p>
            <w:r>
              <w:rPr>
                <w:rFonts w:ascii="Calibri" w:hAnsi="Calibri"/>
                <w:sz w:val="22"/>
              </w:rPr>
              <w:t>$99.52</w:t>
            </w:r>
          </w:p>
        </w:tc>
        <w:tc>
          <w:tcPr>
            <w:tcW w:type="dxa" w:w="1728"/>
          </w:tcPr>
          <w:p>
            <w:r>
              <w:rPr>
                <w:rFonts w:ascii="Calibri" w:hAnsi="Calibri"/>
                <w:b/>
                <w:color w:val="30A46C"/>
                <w:sz w:val="22"/>
              </w:rPr>
              <w:t>+5.3%</w:t>
            </w:r>
          </w:p>
        </w:tc>
        <w:tc>
          <w:tcPr>
            <w:tcW w:type="dxa" w:w="1728"/>
          </w:tcPr>
          <w:p>
            <w:r>
              <w:rPr>
                <w:rFonts w:ascii="Calibri" w:hAnsi="Calibri"/>
                <w:sz w:val="22"/>
              </w:rPr>
              <w:t>105.3</w:t>
            </w:r>
          </w:p>
        </w:tc>
      </w:tr>
      <w:tr>
        <w:tc>
          <w:tcPr>
            <w:tcW w:type="dxa" w:w="1728"/>
          </w:tcPr>
          <w:p>
            <w:r>
              <w:rPr>
                <w:rFonts w:ascii="Calibri" w:hAnsi="Calibri"/>
                <w:sz w:val="22"/>
              </w:rPr>
              <w:t>SPY (S&amp;P 500)</w:t>
            </w:r>
          </w:p>
        </w:tc>
        <w:tc>
          <w:tcPr>
            <w:tcW w:type="dxa" w:w="1728"/>
          </w:tcPr>
          <w:p>
            <w:r>
              <w:rPr>
                <w:rFonts w:ascii="Calibri" w:hAnsi="Calibri"/>
                <w:sz w:val="22"/>
              </w:rPr>
              <w:t>$711.21</w:t>
            </w:r>
          </w:p>
        </w:tc>
        <w:tc>
          <w:tcPr>
            <w:tcW w:type="dxa" w:w="1728"/>
          </w:tcPr>
          <w:p>
            <w:r>
              <w:rPr>
                <w:rFonts w:ascii="Calibri" w:hAnsi="Calibri"/>
                <w:sz w:val="22"/>
              </w:rPr>
              <w:t>$748.28</w:t>
            </w:r>
          </w:p>
        </w:tc>
        <w:tc>
          <w:tcPr>
            <w:tcW w:type="dxa" w:w="1728"/>
          </w:tcPr>
          <w:p>
            <w:r>
              <w:rPr>
                <w:rFonts w:ascii="Calibri" w:hAnsi="Calibri"/>
                <w:b/>
                <w:color w:val="30A46C"/>
                <w:sz w:val="22"/>
              </w:rPr>
              <w:t>+5.2%</w:t>
            </w:r>
          </w:p>
        </w:tc>
        <w:tc>
          <w:tcPr>
            <w:tcW w:type="dxa" w:w="1728"/>
          </w:tcPr>
          <w:p>
            <w:r>
              <w:rPr>
                <w:rFonts w:ascii="Calibri" w:hAnsi="Calibri"/>
                <w:sz w:val="22"/>
              </w:rPr>
              <w:t>105.2</w:t>
            </w:r>
          </w:p>
        </w:tc>
      </w:tr>
    </w:tbl>
    <w:p>
      <w:r>
        <w:rPr>
          <w:rFonts w:ascii="Calibri" w:hAnsi="Calibri"/>
          <w:b/>
          <w:color w:val="525866"/>
          <w:sz w:val="22"/>
        </w:rPr>
        <w:t xml:space="preserve">Source: Yahoo Finance / Stock Price Data. </w:t>
      </w:r>
      <w:r>
        <w:rPr>
          <w:rFonts w:ascii="Calibri" w:hAnsi="Calibri"/>
          <w:color w:val="525866"/>
          <w:sz w:val="22"/>
        </w:rPr>
        <w:t xml:space="preserve">CCI underperformed VNQ by ~16.7pp and SPY by ~16.6pp since the Q1 2026 earnings date. Key events driving the underperformance include: (1) the stock initially rallied ~4% to ~$91 in late May on fiber sale close euphoria; (2) a sharp ~18% decline from the late-May peak through late June/early July as the market re-focused on the DISH litigation timeline uncertainty and organic growth trough; (3) a partial recovery in mid-July. The NTM EV/EBITDA multiple contracted from ~25.0x to ~23.2x over 3 months (−6.4%), confirming multiple compression as the primary driver of underperformance rather than estimate cuts. CCI currently trades at a </w:t>
      </w:r>
      <w:r>
        <w:rPr>
          <w:rFonts w:ascii="Calibri" w:hAnsi="Calibri"/>
          <w:b/>
          <w:color w:val="525866"/>
          <w:sz w:val="22"/>
        </w:rPr>
        <w:t>46% premium to the broader specialty REIT peer group</w:t>
      </w:r>
      <w:r>
        <w:rPr>
          <w:rFonts w:ascii="Calibri" w:hAnsi="Calibri"/>
          <w:color w:val="525866"/>
          <w:sz w:val="22"/>
        </w:rPr>
        <w:t xml:space="preserve"> on NTM EV/EBITDA (23.2x vs. peer average ~15.9x), reflecting its pure-play U.S. tower premium, though this premium has compressed from historical levels.</w:t>
      </w:r>
    </w:p>
    <w:p>
      <w:r>
        <w:rPr>
          <w:rFonts w:ascii="Calibri" w:hAnsi="Calibri"/>
          <w:b/>
          <w:color w:val="525866"/>
          <w:sz w:val="22"/>
        </w:rPr>
        <w:t>Indexed Price Chart — CCI vs. VNQ vs. SPY (April 22 – July 21, 2026):</w:t>
      </w:r>
    </w:p>
    <w:p>
      <w:r>
        <w:rPr>
          <w:rFonts w:ascii="Calibri" w:hAnsi="Calibri"/>
          <w:color w:val="525866"/>
          <w:sz w:val="22"/>
        </w:rPr>
        <w:t>Key events annotated on the chart:</w:t>
      </w:r>
    </w:p>
    <w:p>
      <w:pPr>
        <w:pStyle w:val="ListBullet"/>
        <w:ind w:left="360" w:hanging="360"/>
      </w:pPr>
      <w:r>
        <w:rPr>
          <w:rFonts w:ascii="Calibri" w:hAnsi="Calibri"/>
          <w:b/>
          <w:color w:val="525866"/>
          <w:sz w:val="22"/>
        </w:rPr>
        <w:t>May 1, 2026:</w:t>
      </w:r>
      <w:r>
        <w:rPr>
          <w:rFonts w:ascii="Calibri" w:hAnsi="Calibri"/>
          <w:color w:val="525866"/>
          <w:sz w:val="22"/>
        </w:rPr>
        <w:t xml:space="preserve"> Fiber/small cell sale closes ($8.5B); guidance raised; $1B buyback authorized — CCI rallied ~4%</w:t>
      </w:r>
    </w:p>
    <w:p>
      <w:pPr>
        <w:pStyle w:val="ListBullet"/>
        <w:ind w:left="360" w:hanging="360"/>
      </w:pPr>
      <w:r>
        <w:rPr>
          <w:rFonts w:ascii="Calibri" w:hAnsi="Calibri"/>
          <w:b/>
          <w:color w:val="525866"/>
          <w:sz w:val="22"/>
        </w:rPr>
        <w:t>Jun 2, 2026:</w:t>
      </w:r>
      <w:r>
        <w:rPr>
          <w:rFonts w:ascii="Calibri" w:hAnsi="Calibri"/>
          <w:color w:val="525866"/>
          <w:sz w:val="22"/>
        </w:rPr>
        <w:t xml:space="preserve"> Nareit REITweek — management reaffirms Q1 as organic growth trough; cautious optimism on DISH FCC set-aside</w:t>
      </w:r>
    </w:p>
    <w:p>
      <w:pPr>
        <w:pStyle w:val="ListBullet"/>
        <w:ind w:left="360" w:hanging="360"/>
      </w:pPr>
      <w:r>
        <w:rPr>
          <w:rFonts w:ascii="Calibri" w:hAnsi="Calibri"/>
          <w:b/>
          <w:color w:val="525866"/>
          <w:sz w:val="22"/>
        </w:rPr>
        <w:t>Jun 18–Jul 6, 2026:</w:t>
      </w:r>
      <w:r>
        <w:rPr>
          <w:rFonts w:ascii="Calibri" w:hAnsi="Calibri"/>
          <w:color w:val="525866"/>
          <w:sz w:val="22"/>
        </w:rPr>
        <w:t xml:space="preserve"> CCI declined ~19% from peak as DISH litigation timeline uncertainty weighed; SpaceX/Starlink mobile concerns pressured carrier stocks</w:t>
      </w:r>
    </w:p>
    <w:p>
      <w:r>
        <w:rPr>
          <w:rFonts w:ascii="Calibri" w:hAnsi="Calibri"/>
          <w:b/>
          <w:color w:val="525866"/>
          <w:sz w:val="22"/>
        </w:rPr>
        <w:t>Valuation Context:</w:t>
      </w:r>
      <w:r>
        <w:rPr>
          <w:rFonts w:ascii="Calibri" w:hAnsi="Calibri"/>
          <w:color w:val="525866"/>
          <w:sz w:val="22"/>
        </w:rPr>
        <w:t xml:space="preserve"> CCI NTM EV/EBITDA = 23.2x vs. AMT ~17.3x and SBAC ~17.5x. CCI's premium to tower peers reflects its pure-play U.S. focus and post-divestiture simplicity, but the gap has narrowed as DISH uncertainty persists. On a P/FCF basis, CCI trades at 18.8x NTM vs. a 3-month-ago level of 20.6x (−13% compression).</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May 1 fiber/small cell sale close and FCC DISH set-aside development</w:t>
      </w:r>
      <w:r>
        <w:rPr>
          <w:rFonts w:ascii="Calibri" w:hAnsi="Calibri"/>
          <w:color w:val="525866"/>
          <w:sz w:val="22"/>
        </w:rPr>
        <w:t xml:space="preserve"> are the two most material post-Q1 developments; the former is fully reflected in guidance while the latter remains a multi-year wildcard that could be the single largest re-rating catalyst for the stock.</w:t>
      </w:r>
    </w:p>
    <w:p>
      <w:pPr>
        <w:pStyle w:val="ListBullet"/>
        <w:ind w:left="360" w:hanging="360"/>
      </w:pPr>
      <w:r>
        <w:rPr>
          <w:rFonts w:ascii="Calibri" w:hAnsi="Calibri"/>
          <w:b/>
          <w:color w:val="525866"/>
          <w:sz w:val="22"/>
        </w:rPr>
        <w:t>May 1, 2026 — Fiber &amp; Small Cell Sale Closes ($8.5B):</w:t>
      </w:r>
      <w:r>
        <w:rPr>
          <w:rFonts w:ascii="Calibri" w:hAnsi="Calibri"/>
          <w:color w:val="525866"/>
          <w:sz w:val="22"/>
        </w:rPr>
        <w:t xml:space="preserve"> Crown Castle completed the sale of its fiber solutions business to Zayo and small cell business to Arium Networks (EQT) for $8.5B gross (~$8.4B net). Proceeds used to repay &gt;$7B of debt and fund a $1B share buyback. Earlier-than-expected close (vs. June 30 assumption) drove a $40M reduction in interest expense and $10M increase in interest income, lifting FY 2026 AFFO guidance by $50M at the midpoint. CCI is now the only large publicly traded pure-play U.S. tower company.</w:t>
      </w:r>
    </w:p>
    <w:p>
      <w:pPr>
        <w:pStyle w:val="ListBullet"/>
        <w:ind w:left="360" w:hanging="360"/>
      </w:pPr>
      <w:r>
        <w:rPr>
          <w:rFonts w:ascii="Calibri" w:hAnsi="Calibri"/>
          <w:b/>
          <w:color w:val="525866"/>
          <w:sz w:val="22"/>
        </w:rPr>
        <w:t>May 1, 2026 — $4.5B Revolving Credit Facility:</w:t>
      </w:r>
      <w:r>
        <w:rPr>
          <w:rFonts w:ascii="Calibri" w:hAnsi="Calibri"/>
          <w:color w:val="525866"/>
          <w:sz w:val="22"/>
        </w:rPr>
        <w:t xml:space="preserve"> Crown Castle secured a new $4.5B revolving credit facility, replacing existing debt facilities. Provides liquidity runway and financial flexibility post-divestiture.</w:t>
      </w:r>
    </w:p>
    <w:p>
      <w:pPr>
        <w:pStyle w:val="ListBullet"/>
        <w:ind w:left="360" w:hanging="360"/>
      </w:pPr>
      <w:r>
        <w:rPr>
          <w:rFonts w:ascii="Calibri" w:hAnsi="Calibri"/>
          <w:b/>
          <w:color w:val="525866"/>
          <w:sz w:val="22"/>
        </w:rPr>
        <w:t>May 1, 2026 — $1B Share Repurchase Program Authorized:</w:t>
      </w:r>
      <w:r>
        <w:rPr>
          <w:rFonts w:ascii="Calibri" w:hAnsi="Calibri"/>
          <w:color w:val="525866"/>
          <w:sz w:val="22"/>
        </w:rPr>
        <w:t xml:space="preserve"> Board authorized a $1B open-market buyback with no fixed expiration. Signals capital return confidence post-divestiture. Implication: Buyback execution pace in Q2 will be a key question on the earnings call.</w:t>
      </w:r>
    </w:p>
    <w:p>
      <w:pPr>
        <w:pStyle w:val="ListBullet"/>
        <w:ind w:left="360" w:hanging="360"/>
      </w:pPr>
      <w:r>
        <w:rPr>
          <w:rFonts w:ascii="Calibri" w:hAnsi="Calibri"/>
          <w:b/>
          <w:color w:val="525866"/>
          <w:sz w:val="22"/>
        </w:rPr>
        <w:t>May 2026 — New Leadership Appointments:</w:t>
      </w:r>
      <w:r>
        <w:rPr>
          <w:rFonts w:ascii="Calibri" w:hAnsi="Calibri"/>
          <w:color w:val="525866"/>
          <w:sz w:val="22"/>
        </w:rPr>
        <w:t xml:space="preserve"> Kris Hinson named Chief Commercial Officer (customer relationships and commercial strategy) and Mark Lennon named Chief Information Officer (data, digital, AI-enabled operations). Reflects focus on organic growth execution and operational transformation as a standalone tower company.</w:t>
      </w:r>
    </w:p>
    <w:p>
      <w:pPr>
        <w:pStyle w:val="ListBullet"/>
        <w:ind w:left="360" w:hanging="360"/>
      </w:pPr>
      <w:r>
        <w:rPr>
          <w:rFonts w:ascii="Calibri" w:hAnsi="Calibri"/>
          <w:b/>
          <w:color w:val="525866"/>
          <w:sz w:val="22"/>
        </w:rPr>
        <w:t>Jun 2, 2026 — Nareit REITweek Conference:</w:t>
      </w:r>
      <w:r>
        <w:rPr>
          <w:rFonts w:ascii="Calibri" w:hAnsi="Calibri"/>
          <w:color w:val="525866"/>
          <w:sz w:val="22"/>
        </w:rPr>
        <w:t xml:space="preserve"> CEO Chris Hillabrant presented. Key takeaways: (1) Q1 2026 organic growth rate reaffirmed as the low watermark for the cycle; (2) FCC action on DISH/EchoStar spectrum sale established a set-aside that management characterized as a "floor" for recovery, though a court judgment is still required; (3) management tone constructive on 2H 2026 growth ramp driven by MLA visibility across the customer base.</w:t>
      </w:r>
    </w:p>
    <w:p>
      <w:pPr>
        <w:pStyle w:val="ListBullet"/>
        <w:ind w:left="360" w:hanging="360"/>
      </w:pPr>
      <w:r>
        <w:rPr>
          <w:rFonts w:ascii="Calibri" w:hAnsi="Calibri"/>
          <w:b/>
          <w:color w:val="525866"/>
          <w:sz w:val="22"/>
        </w:rPr>
        <w:t>Jun–Jul 2026 — SpaceX/Starlink Mobile Concerns:</w:t>
      </w:r>
      <w:r>
        <w:rPr>
          <w:rFonts w:ascii="Calibri" w:hAnsi="Calibri"/>
          <w:color w:val="525866"/>
          <w:sz w:val="22"/>
        </w:rPr>
        <w:t xml:space="preserve"> Reports of SpaceX exploring a mobile phone business (potentially partnering with Charter) sent carrier stocks (VZ, T, TMUS) sharply lower in late June. CCI management has consistently characterized satellite as a "complementary technology" with de minimis impact on tower demand. However, the carrier stock selloff created indirect pressure on CCI as investors reassessed wireless infrastructure demand. Implication: Any Q2 commentary from carriers on network investment plans will be closely watched.</w:t>
      </w:r>
    </w:p>
    <w:p>
      <w:pPr>
        <w:pStyle w:val="ListBullet"/>
        <w:ind w:left="360" w:hanging="360"/>
      </w:pPr>
      <w:r>
        <w:rPr>
          <w:rFonts w:ascii="Calibri" w:hAnsi="Calibri"/>
          <w:b/>
          <w:color w:val="525866"/>
          <w:sz w:val="22"/>
        </w:rPr>
        <w:t>Jul 15, 2026 — SBAC Prices $3.5B Senior Notes:</w:t>
      </w:r>
      <w:r>
        <w:rPr>
          <w:rFonts w:ascii="Calibri" w:hAnsi="Calibri"/>
          <w:color w:val="525866"/>
          <w:sz w:val="22"/>
        </w:rPr>
        <w:t xml:space="preserve"> SBA Communications priced a $3.5B senior notes offering for debt refinancing. Positive read-through for tower sector credit markets; suggests institutional appetite for tower company paper remains healthy.</w:t>
      </w:r>
    </w:p>
    <w:p>
      <w:pPr>
        <w:pStyle w:val="ListBullet"/>
        <w:ind w:left="360" w:hanging="360"/>
      </w:pPr>
      <w:r>
        <w:rPr>
          <w:rFonts w:ascii="Calibri" w:hAnsi="Calibri"/>
          <w:b/>
          <w:color w:val="525866"/>
          <w:sz w:val="22"/>
        </w:rPr>
        <w:t>Jul 16, 2026 — Verizon Cuts ~3,000 Jobs, Divests 274 Retail Stores:</w:t>
      </w:r>
      <w:r>
        <w:rPr>
          <w:rFonts w:ascii="Calibri" w:hAnsi="Calibri"/>
          <w:color w:val="525866"/>
          <w:sz w:val="22"/>
        </w:rPr>
        <w:t xml:space="preserve"> Verizon announced workforce reduction and retail store divestitures to franchise owners. Reflects ongoing cost optimization at a key CCI customer. Implication: Verizon's network CapEx trajectory (reporting July 24) will be a key read-through for CCI's 2H 2026 leasing activity.</w:t>
      </w:r>
    </w:p>
    <w:p>
      <w:pPr>
        <w:pStyle w:val="ListBullet"/>
        <w:ind w:left="360" w:hanging="360"/>
      </w:pPr>
      <w:r>
        <w:rPr>
          <w:rFonts w:ascii="Calibri" w:hAnsi="Calibri"/>
          <w:b/>
          <w:color w:val="525866"/>
          <w:sz w:val="22"/>
        </w:rPr>
        <w:t>Jul 8, 2026 — FCC Chairman Commentary on Telecom Competition:</w:t>
      </w:r>
      <w:r>
        <w:rPr>
          <w:rFonts w:ascii="Calibri" w:hAnsi="Calibri"/>
          <w:color w:val="525866"/>
          <w:sz w:val="22"/>
        </w:rPr>
        <w:t xml:space="preserve"> FCC Chairman Brendan Carr stated that the decline in wireless carrier share prices reflects "heating competition" driven by spectrum sales, satellite competition, and EchoStar's network phase-out. The EchoStar spectrum sale is directly relevant to CCI's DISH litigation recovery prospects.</w:t>
      </w:r>
    </w:p>
    <w:p>
      <w:pPr>
        <w:pStyle w:val="ListBullet"/>
        <w:ind w:left="360" w:hanging="360"/>
      </w:pPr>
      <w:r>
        <w:rPr>
          <w:rFonts w:ascii="Calibri" w:hAnsi="Calibri"/>
          <w:b/>
          <w:color w:val="525866"/>
          <w:sz w:val="22"/>
        </w:rPr>
        <w:t>Jun 2026 — Edge Compute / AI Inference Partnership (Project Qestrel):</w:t>
      </w:r>
      <w:r>
        <w:rPr>
          <w:rFonts w:ascii="Calibri" w:hAnsi="Calibri"/>
          <w:color w:val="525866"/>
          <w:sz w:val="22"/>
        </w:rPr>
        <w:t xml:space="preserve"> Available Infrastructure's Project Qestrel, using Crown Castle tower sites for AI inference workloads, remains in trial phase. Management characterized this as an early-stage opportunity with "very little capital required." Not embedded in guidance but represents potential upside optionality.</w:t>
      </w:r>
    </w:p>
    <w:p>
      <w:pPr>
        <w:pStyle w:val="Heading2"/>
      </w:pPr>
      <w:r>
        <w:rPr>
          <w:rFonts w:ascii="Calibri" w:hAnsi="Calibri"/>
          <w:b/>
          <w:color w:val="3B4259"/>
          <w:sz w:val="28"/>
        </w:rPr>
        <w:t>7. Peer &amp; Customer Commentary Read-Through</w:t>
      </w:r>
    </w:p>
    <w:p>
      <w:r>
        <w:rPr>
          <w:rFonts w:ascii="Calibri" w:hAnsi="Calibri"/>
          <w:b/>
          <w:color w:val="525866"/>
          <w:sz w:val="22"/>
        </w:rPr>
        <w:t xml:space="preserve">Key Takeaway: </w:t>
      </w:r>
      <w:r>
        <w:rPr>
          <w:rFonts w:ascii="Calibri" w:hAnsi="Calibri"/>
          <w:color w:val="525866"/>
          <w:sz w:val="22"/>
        </w:rPr>
        <w:t xml:space="preserve">Peer and customer commentary from the last 60 days is </w:t>
      </w:r>
      <w:r>
        <w:rPr>
          <w:rFonts w:ascii="Calibri" w:hAnsi="Calibri"/>
          <w:b/>
          <w:color w:val="525866"/>
          <w:sz w:val="22"/>
        </w:rPr>
        <w:t>broadly constructive for CCI's Q2 2026 setup</w:t>
      </w:r>
      <w:r>
        <w:rPr>
          <w:rFonts w:ascii="Calibri" w:hAnsi="Calibri"/>
          <w:color w:val="525866"/>
          <w:sz w:val="22"/>
        </w:rPr>
        <w:t xml:space="preserve"> — AMT confirmed healthy tower leasing demand driven by mobile data growth, T-Mobile provided explicit Q2 2026 guidance showing continued wireless investment, and AT&amp;T reaffirmed its multi-year network CapEx commitment. The primary risk flagged across all three is the SpaceX/Starlink competitive narrative, which management teams universally characterized as complementary rather than disruptive.</w:t>
      </w:r>
    </w:p>
    <w:p>
      <w:r>
        <w:rPr>
          <w:rFonts w:ascii="Calibri" w:hAnsi="Calibri"/>
          <w:b/>
          <w:color w:val="525866"/>
          <w:sz w:val="22"/>
        </w:rPr>
        <w:t>Scope and Methodology:</w:t>
      </w:r>
      <w:r>
        <w:rPr>
          <w:rFonts w:ascii="Calibri" w:hAnsi="Calibri"/>
          <w:color w:val="525866"/>
          <w:sz w:val="22"/>
        </w:rPr>
        <w:t xml:space="preserve"> Only commentary from the last 60 days (May 22 – July 21, 2026) that explicitly addresses Q2 2026 current-quarter conditions or forward 2026 outlook is included below. Retrospective commentary solely about prior-quarter results has been excluded per the user's instruction.</w:t>
      </w:r>
    </w:p>
    <w:p>
      <w:pPr>
        <w:pStyle w:val="Heading3"/>
      </w:pPr>
      <w:r>
        <w:rPr>
          <w:rFonts w:ascii="Calibri" w:hAnsi="Calibri"/>
          <w:b/>
          <w:color w:val="3B4259"/>
          <w:sz w:val="24"/>
        </w:rPr>
        <w:t>7A. American Tower (AMT) — Nareit REITweek Conference, June 3, 2026</w:t>
      </w:r>
    </w:p>
    <w:p>
      <w:r>
        <w:rPr>
          <w:rFonts w:ascii="Calibri" w:hAnsi="Calibri"/>
          <w:b/>
          <w:color w:val="525866"/>
          <w:sz w:val="22"/>
        </w:rPr>
        <w:t>Relevance to CCI:</w:t>
      </w:r>
      <w:r>
        <w:rPr>
          <w:rFonts w:ascii="Calibri" w:hAnsi="Calibri"/>
          <w:color w:val="525866"/>
          <w:sz w:val="22"/>
        </w:rPr>
        <w:t xml:space="preserve"> AMT is CCI's closest direct peer — both are U.S. tower operators with overlapping carrier customers (AT&amp;T, Verizon, T-Mobile). AMT's commentary on leasing demand, carrier CapEx, and spectrum deployment is the highest-quality read-through available for CCI's Q2 2026 tower leasing activity.</w:t>
      </w:r>
    </w:p>
    <w:p>
      <w:pPr>
        <w:pStyle w:val="ListBullet"/>
        <w:ind w:left="360" w:hanging="360"/>
      </w:pPr>
      <w:r>
        <w:rPr>
          <w:rFonts w:ascii="Calibri" w:hAnsi="Calibri"/>
          <w:b/>
          <w:color w:val="525866"/>
          <w:sz w:val="22"/>
        </w:rPr>
        <w:t>Healthy Demand Environment Confirmed:</w:t>
      </w:r>
      <w:r>
        <w:rPr>
          <w:rFonts w:ascii="Calibri" w:hAnsi="Calibri"/>
          <w:color w:val="525866"/>
          <w:sz w:val="22"/>
        </w:rPr>
        <w:t xml:space="preserve"> AMT management stated: "We see a healthy demand environment for new business, and we don't see that changing based on interest rates or really anything else other than mobile data growth." AMT's current new business rate with the three major carriers is "roughly in line with the average new business we've had even when we had 6 carriers and 5 carriers and 4 carriers" — a strong signal that carrier consolidation has not impaired tower leasing volumes.</w:t>
      </w:r>
    </w:p>
    <w:p>
      <w:pPr>
        <w:pStyle w:val="ListBullet"/>
        <w:ind w:left="360" w:hanging="360"/>
      </w:pPr>
      <w:r>
        <w:rPr>
          <w:rFonts w:ascii="Calibri" w:hAnsi="Calibri"/>
          <w:b/>
          <w:color w:val="525866"/>
          <w:sz w:val="22"/>
        </w:rPr>
        <w:t>Mobile Data Growth as Primary Driver:</w:t>
      </w:r>
      <w:r>
        <w:rPr>
          <w:rFonts w:ascii="Calibri" w:hAnsi="Calibri"/>
          <w:color w:val="525866"/>
          <w:sz w:val="22"/>
        </w:rPr>
        <w:t xml:space="preserve"> AMT noted that U.S. mobile data consumption grew ~35% year-on-year in 2025 (per CTIA) and is expected to require a "doubling of network capacity by the end of the decade." AMT stated: "The best predictor of activity on our sites is mobile data growth because it's the stress on the networks that requires the carriers to upgrade those networks." This structural demand driver is equally applicable to CCI's ~40,000 U.S. tower portfolio.</w:t>
      </w:r>
    </w:p>
    <w:p>
      <w:pPr>
        <w:pStyle w:val="ListBullet"/>
        <w:ind w:left="360" w:hanging="360"/>
      </w:pPr>
      <w:r>
        <w:rPr>
          <w:rFonts w:ascii="Calibri" w:hAnsi="Calibri"/>
          <w:b/>
          <w:color w:val="525866"/>
          <w:sz w:val="22"/>
        </w:rPr>
        <w:t>AI as Uplink Demand Accelerant:</w:t>
      </w:r>
      <w:r>
        <w:rPr>
          <w:rFonts w:ascii="Calibri" w:hAnsi="Calibri"/>
          <w:color w:val="525866"/>
          <w:sz w:val="22"/>
        </w:rPr>
        <w:t xml:space="preserve"> AMT flagged that AI applications may use "25% uplink versus traditional networks, which are architected to 10–15% uplink" — a potential network architecture change that would be "beneficial for towers" by requiring more densification and equipment upgrades. This is not embedded in current guidance and represents upside optionality for both AMT and CCI.</w:t>
      </w:r>
    </w:p>
    <w:p>
      <w:pPr>
        <w:pStyle w:val="ListBullet"/>
        <w:ind w:left="360" w:hanging="360"/>
      </w:pPr>
      <w:r>
        <w:rPr>
          <w:rFonts w:ascii="Calibri" w:hAnsi="Calibri"/>
          <w:b/>
          <w:color w:val="525866"/>
          <w:sz w:val="22"/>
        </w:rPr>
        <w:t>Spectrum Densification Tailwind:</w:t>
      </w:r>
      <w:r>
        <w:rPr>
          <w:rFonts w:ascii="Calibri" w:hAnsi="Calibri"/>
          <w:color w:val="525866"/>
          <w:sz w:val="22"/>
        </w:rPr>
        <w:t xml:space="preserve"> AMT noted that approximately half of future capacity demand will require "densification, adding more sites and more equipment to existing sites" — directly benefiting tower operators. Spectrum auctions are expected "next year" (2027), with 6G spectrum in the 6–8 GHz range requiring "more towers" and "more sites" due to propagation characteristics.</w:t>
      </w:r>
    </w:p>
    <w:p>
      <w:pPr>
        <w:pStyle w:val="ListBullet"/>
        <w:ind w:left="360" w:hanging="360"/>
      </w:pPr>
      <w:r>
        <w:rPr>
          <w:rFonts w:ascii="Calibri" w:hAnsi="Calibri"/>
          <w:b/>
          <w:color w:val="525866"/>
          <w:sz w:val="22"/>
        </w:rPr>
        <w:t>Satellite as Complementary, Not Competitive:</w:t>
      </w:r>
      <w:r>
        <w:rPr>
          <w:rFonts w:ascii="Calibri" w:hAnsi="Calibri"/>
          <w:color w:val="525866"/>
          <w:sz w:val="22"/>
        </w:rPr>
        <w:t xml:space="preserve"> AMT stated: "There's absolutely nothing we see in that space that poses a risk to our business model or our carrier customers. It is a complementary technology." This directly supports CCI management's consistent messaging on the SpaceX/Starlink narrative.</w:t>
      </w:r>
    </w:p>
    <w:p>
      <w:pPr>
        <w:pStyle w:val="ListBullet"/>
        <w:ind w:left="360" w:hanging="360"/>
      </w:pPr>
      <w:r>
        <w:rPr>
          <w:rFonts w:ascii="Calibri" w:hAnsi="Calibri"/>
          <w:b/>
          <w:color w:val="525866"/>
          <w:sz w:val="22"/>
        </w:rPr>
        <w:t>Mid-to-High Single-Digit AFFO/Share Growth Target:</w:t>
      </w:r>
      <w:r>
        <w:rPr>
          <w:rFonts w:ascii="Calibri" w:hAnsi="Calibri"/>
          <w:color w:val="525866"/>
          <w:sz w:val="22"/>
        </w:rPr>
        <w:t xml:space="preserve"> AMT guided to "mid- to high single-digit AFFO per share growth" reliably over time, with mid-single-digit organic tenant billings growth in developed markets (U.S. and Europe). This is a forward-looking statement about the 2026 and beyond trajectory, not a retrospective Q1 comment.</w:t>
      </w:r>
    </w:p>
    <w:p>
      <w:r>
        <w:rPr>
          <w:rFonts w:ascii="Calibri" w:hAnsi="Calibri"/>
          <w:b/>
          <w:color w:val="525866"/>
          <w:sz w:val="22"/>
        </w:rPr>
        <w:t>Limitations:</w:t>
      </w:r>
      <w:r>
        <w:rPr>
          <w:rFonts w:ascii="Calibri" w:hAnsi="Calibri"/>
          <w:color w:val="525866"/>
          <w:sz w:val="22"/>
        </w:rPr>
        <w:t xml:space="preserve"> AMT has significant international exposure (~60% of revenue) that CCI does not, so AMT's consolidated results are not directly comparable. AMT also has a data center business (CoreSite) that creates a different growth and capital allocation profile. The read-through is strongest for the U.S. tower leasing demand narrative, not for AFFO or margin comparisons.</w:t>
      </w:r>
    </w:p>
    <w:p>
      <w:pPr>
        <w:pStyle w:val="Heading3"/>
      </w:pPr>
      <w:r>
        <w:rPr>
          <w:rFonts w:ascii="Calibri" w:hAnsi="Calibri"/>
          <w:b/>
          <w:color w:val="3B4259"/>
          <w:sz w:val="24"/>
        </w:rPr>
        <w:t>7B. T-Mobile (TMUS) — Evercore TMT Global Conference, June 2, 2026</w:t>
      </w:r>
    </w:p>
    <w:p>
      <w:r>
        <w:rPr>
          <w:rFonts w:ascii="Calibri" w:hAnsi="Calibri"/>
          <w:b/>
          <w:color w:val="525866"/>
          <w:sz w:val="22"/>
        </w:rPr>
        <w:t>Relevance to CCI:</w:t>
      </w:r>
      <w:r>
        <w:rPr>
          <w:rFonts w:ascii="Calibri" w:hAnsi="Calibri"/>
          <w:color w:val="525866"/>
          <w:sz w:val="22"/>
        </w:rPr>
        <w:t xml:space="preserve"> T-Mobile is one of CCI's three largest customers (alongside AT&amp;T and Verizon). TMUS CFO Peter Osvaldik provided explicit Q2 2026 guidance and forward 2026 outlook commentary at this conference, making it the most directly relevant current-quarter read-through available.</w:t>
      </w:r>
    </w:p>
    <w:p>
      <w:pPr>
        <w:pStyle w:val="ListBullet"/>
        <w:ind w:left="360" w:hanging="360"/>
      </w:pPr>
      <w:r>
        <w:rPr>
          <w:rFonts w:ascii="Calibri" w:hAnsi="Calibri"/>
          <w:b/>
          <w:color w:val="525866"/>
          <w:sz w:val="22"/>
        </w:rPr>
        <w:t>No Big Shifts in Strategy or Operational Environment:</w:t>
      </w:r>
      <w:r>
        <w:rPr>
          <w:rFonts w:ascii="Calibri" w:hAnsi="Calibri"/>
          <w:color w:val="525866"/>
          <w:sz w:val="22"/>
        </w:rPr>
        <w:t xml:space="preserve"> TMUS CFO stated there have been "no big shifts in the strategy or the operational environment" since February, and the company is "doubling down and executing against that strategy" for "the balance of this year, but actually over the long term as well." This signals continued network investment consistency — a positive for CCI tower leasing.</w:t>
      </w:r>
    </w:p>
    <w:p>
      <w:pPr>
        <w:pStyle w:val="ListBullet"/>
        <w:ind w:left="360" w:hanging="360"/>
      </w:pPr>
      <w:r>
        <w:rPr>
          <w:rFonts w:ascii="Calibri" w:hAnsi="Calibri"/>
          <w:b/>
          <w:color w:val="525866"/>
          <w:sz w:val="22"/>
        </w:rPr>
        <w:t>Q2 2026 CLV Trends Continuing:</w:t>
      </w:r>
      <w:r>
        <w:rPr>
          <w:rFonts w:ascii="Calibri" w:hAnsi="Calibri"/>
          <w:color w:val="525866"/>
          <w:sz w:val="22"/>
        </w:rPr>
        <w:t xml:space="preserve"> TMUS noted that Customer Lifetime Values (CLVs) in Q1 were "up double digits year-over-year" and that this trend "has actually continued into Q2." Strong CLV growth implies continued subscriber quality and ARPA growth, supporting ongoing network investment.</w:t>
      </w:r>
    </w:p>
    <w:p>
      <w:pPr>
        <w:pStyle w:val="ListBullet"/>
        <w:ind w:left="360" w:hanging="360"/>
      </w:pPr>
      <w:r>
        <w:rPr>
          <w:rFonts w:ascii="Calibri" w:hAnsi="Calibri"/>
          <w:b/>
          <w:color w:val="525866"/>
          <w:sz w:val="22"/>
        </w:rPr>
        <w:t>Q2 2026 Postpaid ARPA Guidance:</w:t>
      </w:r>
      <w:r>
        <w:rPr>
          <w:rFonts w:ascii="Calibri" w:hAnsi="Calibri"/>
          <w:color w:val="525866"/>
          <w:sz w:val="22"/>
        </w:rPr>
        <w:t xml:space="preserve"> TMUS guided to "roughly 2% growth in Q2" postpaid ARPA before "reaccelerating in the back half and landing at 2.5% to 3% for the full year." The Q2 deceleration is attributed to mathematical noise from prior-year rate plan optimization and UScellular/Metronet/Lumos acquisition dilution — not a structural demand issue. This is a constructive signal for CCI as it implies TMUS is not pulling back on network investment.</w:t>
      </w:r>
    </w:p>
    <w:p>
      <w:pPr>
        <w:pStyle w:val="ListBullet"/>
        <w:ind w:left="360" w:hanging="360"/>
      </w:pPr>
      <w:r>
        <w:rPr>
          <w:rFonts w:ascii="Calibri" w:hAnsi="Calibri"/>
          <w:b/>
          <w:color w:val="525866"/>
          <w:sz w:val="22"/>
        </w:rPr>
        <w:t>DISH/TracFone Wholesale Headwind Fading:</w:t>
      </w:r>
      <w:r>
        <w:rPr>
          <w:rFonts w:ascii="Calibri" w:hAnsi="Calibri"/>
          <w:color w:val="525866"/>
          <w:sz w:val="22"/>
        </w:rPr>
        <w:t xml:space="preserve"> TMUS noted that 2026 is "the year where [wholesale] flattens out to slightly starts growing as TracFone and DISH have fully rolled off." This is directly relevant to CCI — DISH's spectrum assets (acquired by AT&amp;T via EchoStar) being put to work would be a positive for CCI tower leasing activity.</w:t>
      </w:r>
    </w:p>
    <w:p>
      <w:pPr>
        <w:pStyle w:val="ListBullet"/>
        <w:ind w:left="360" w:hanging="360"/>
      </w:pPr>
      <w:r>
        <w:rPr>
          <w:rFonts w:ascii="Calibri" w:hAnsi="Calibri"/>
          <w:b/>
          <w:color w:val="525866"/>
          <w:sz w:val="22"/>
        </w:rPr>
        <w:t>Network Investment Commitment:</w:t>
      </w:r>
      <w:r>
        <w:rPr>
          <w:rFonts w:ascii="Calibri" w:hAnsi="Calibri"/>
          <w:color w:val="525866"/>
          <w:sz w:val="22"/>
        </w:rPr>
        <w:t xml:space="preserve"> TMUS stated it has "no desire to fall behind in our network leadership" and is "investing sufficiently in the business" to maintain its position. The company is "years ahead" in its network and has "all the basically components to continue to be years ahead." $18.2B capital return authorization for 2026 signals financial strength, not a pullback in network spending.</w:t>
      </w:r>
    </w:p>
    <w:p>
      <w:pPr>
        <w:pStyle w:val="ListBullet"/>
        <w:ind w:left="360" w:hanging="360"/>
      </w:pPr>
      <w:r>
        <w:rPr>
          <w:rFonts w:ascii="Calibri" w:hAnsi="Calibri"/>
          <w:b/>
          <w:color w:val="525866"/>
          <w:sz w:val="22"/>
        </w:rPr>
        <w:t>Physical AI as Future Opportunity:</w:t>
      </w:r>
      <w:r>
        <w:rPr>
          <w:rFonts w:ascii="Calibri" w:hAnsi="Calibri"/>
          <w:color w:val="525866"/>
          <w:sz w:val="22"/>
        </w:rPr>
        <w:t xml:space="preserve"> TMUS flagged "physical AI" as a "tremendously exciting" opportunity leveraging its network leadership, though "not embedded in any of the guidance." This aligns with CCI's edge compute/AI inference optionality narrative.</w:t>
      </w:r>
    </w:p>
    <w:p>
      <w:pPr>
        <w:pStyle w:val="ListBullet"/>
        <w:ind w:left="360" w:hanging="360"/>
      </w:pPr>
      <w:r>
        <w:rPr>
          <w:rFonts w:ascii="Calibri" w:hAnsi="Calibri"/>
          <w:b/>
          <w:color w:val="525866"/>
          <w:sz w:val="22"/>
        </w:rPr>
        <w:t>Fixed Wireless Fallow Capacity Model:</w:t>
      </w:r>
      <w:r>
        <w:rPr>
          <w:rFonts w:ascii="Calibri" w:hAnsi="Calibri"/>
          <w:color w:val="525866"/>
          <w:sz w:val="22"/>
        </w:rPr>
        <w:t xml:space="preserve"> TMUS uses a "fallow-capacity model" for fixed wireless, deploying only where excess capacity exists without requiring network densification. This is important for CCI — it means TMUS's fixed wireless growth does not require new tower builds or significant incremental leasing activity, but also does not cannibalize existing tower demand.</w:t>
      </w:r>
    </w:p>
    <w:p>
      <w:r>
        <w:rPr>
          <w:rFonts w:ascii="Calibri" w:hAnsi="Calibri"/>
          <w:b/>
          <w:color w:val="525866"/>
          <w:sz w:val="22"/>
        </w:rPr>
        <w:t>Limitations:</w:t>
      </w:r>
      <w:r>
        <w:rPr>
          <w:rFonts w:ascii="Calibri" w:hAnsi="Calibri"/>
          <w:color w:val="525866"/>
          <w:sz w:val="22"/>
        </w:rPr>
        <w:t xml:space="preserve"> TMUS's commentary is from June 2, 2026 — approximately 7 weeks before CCI's Q2 print. Network investment decisions made in Q2 may not fully manifest in CCI's Q2 leasing revenue due to the typical 3–6 month lag between carrier CapEx commitments and tower revenue recognition. Additionally, TMUS's fixed wireless fallow-capacity model means its broadband subscriber growth does not directly translate to incremental CCI tower revenue.</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the Q1 2026 earnings print is </w:t>
      </w:r>
      <w:r>
        <w:rPr>
          <w:rFonts w:ascii="Calibri" w:hAnsi="Calibri"/>
          <w:b/>
          <w:color w:val="525866"/>
          <w:sz w:val="22"/>
        </w:rPr>
        <w:t>sparse but directionally positive</w:t>
      </w:r>
      <w:r>
        <w:rPr>
          <w:rFonts w:ascii="Calibri" w:hAnsi="Calibri"/>
          <w:color w:val="525866"/>
          <w:sz w:val="22"/>
        </w:rPr>
        <w:t xml:space="preserve"> — the only disclosed open-market transaction is a </w:t>
      </w:r>
      <w:r>
        <w:rPr>
          <w:rFonts w:ascii="Calibri" w:hAnsi="Calibri"/>
          <w:b/>
          <w:color w:val="525866"/>
          <w:sz w:val="22"/>
        </w:rPr>
        <w:t>Director open-market purchase of ~$72K on May 5, 2026</w:t>
      </w:r>
      <w:r>
        <w:rPr>
          <w:rFonts w:ascii="Calibri" w:hAnsi="Calibri"/>
          <w:color w:val="525866"/>
          <w:sz w:val="22"/>
        </w:rPr>
        <w:t>, four days after the fiber sale closed. No insider sales have been disclosed. The absence of insider selling at current price levels (~$76) is a mild positive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Kevin A. Stephens</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820 shares</w:t>
            </w:r>
          </w:p>
        </w:tc>
        <w:tc>
          <w:tcPr>
            <w:tcW w:type="dxa" w:w="1234"/>
          </w:tcPr>
          <w:p>
            <w:r>
              <w:rPr>
                <w:rFonts w:ascii="Calibri" w:hAnsi="Calibri"/>
                <w:sz w:val="22"/>
              </w:rPr>
              <w:t>~$72,000</w:t>
            </w:r>
          </w:p>
        </w:tc>
        <w:tc>
          <w:tcPr>
            <w:tcW w:type="dxa" w:w="1234"/>
          </w:tcPr>
          <w:p>
            <w:r>
              <w:rPr>
                <w:rFonts w:ascii="Calibri" w:hAnsi="Calibri"/>
                <w:sz w:val="22"/>
              </w:rPr>
              <w:t>May 5, 2026</w:t>
            </w:r>
          </w:p>
        </w:tc>
        <w:tc>
          <w:tcPr>
            <w:tcW w:type="dxa" w:w="1234"/>
          </w:tcPr>
          <w:p>
            <w:r>
              <w:rPr>
                <w:rFonts w:ascii="Calibri" w:hAnsi="Calibri"/>
                <w:sz w:val="22"/>
              </w:rPr>
              <w:t>Discretionary open-market purchase; 4 days post fiber sale close; no 10b5-1 plan indicated; total holdings 23,934 shares post-transaction</w:t>
            </w:r>
          </w:p>
        </w:tc>
      </w:tr>
    </w:tbl>
    <w:p>
      <w:r>
        <w:rPr>
          <w:rFonts w:ascii="Calibri" w:hAnsi="Calibri"/>
          <w:b/>
          <w:color w:val="525866"/>
          <w:sz w:val="22"/>
        </w:rPr>
        <w:t xml:space="preserve">Source: SEC Form 4 Filings Database. </w:t>
      </w:r>
      <w:r>
        <w:rPr>
          <w:rFonts w:ascii="Calibri" w:hAnsi="Calibri"/>
          <w:color w:val="525866"/>
          <w:sz w:val="22"/>
        </w:rPr>
        <w:t>No open-market sales have been disclosed by CCI insiders since the Q1 2026 earnings print (April 22, 2026). The single Director purchase on May 5 — four days after the transformative fiber sale close — is a modest positive signal, suggesting at least one board member viewed the stock as attractively valued at ~$88 (the price on May 5). The stock has since declined ~13% to ~$76, making the current price level even more attractive relative to that purchase. The absence of any insider selling is notable given the significant corporate transformation underway.</w:t>
      </w:r>
    </w:p>
    <w:p>
      <w:pPr>
        <w:pStyle w:val="Heading2"/>
      </w:pPr>
      <w:r>
        <w:rPr>
          <w:rFonts w:ascii="Calibri" w:hAnsi="Calibri"/>
          <w:b/>
          <w:color w:val="3B4259"/>
          <w:sz w:val="28"/>
        </w:rPr>
        <w:t>9. Key Questions for Management</w:t>
      </w:r>
    </w:p>
    <w:p>
      <w:r>
        <w:rPr>
          <w:rFonts w:ascii="Calibri" w:hAnsi="Calibri"/>
          <w:color w:val="525866"/>
          <w:sz w:val="22"/>
        </w:rPr>
        <w:t>The following are the most important questions investors should focus on during the July 22, 2026 Q2 earnings call:</w:t>
      </w:r>
    </w:p>
    <w:p>
      <w:pPr>
        <w:pStyle w:val="ListNumber"/>
        <w:ind w:left="360" w:hanging="360"/>
      </w:pPr>
      <w:r>
        <w:rPr>
          <w:rFonts w:ascii="Calibri" w:hAnsi="Calibri"/>
          <w:b/>
          <w:color w:val="525866"/>
          <w:sz w:val="22"/>
        </w:rPr>
        <w:t>DISH/EchoStar Litigation &amp; FCC Set-Aside:</w:t>
      </w:r>
      <w:r>
        <w:rPr>
          <w:rFonts w:ascii="Calibri" w:hAnsi="Calibri"/>
          <w:color w:val="525866"/>
          <w:sz w:val="22"/>
        </w:rPr>
        <w:t xml:space="preserve"> What is the current status of the FCC set-aside from the EchoStar spectrum sale proceeds? How many claimants are expected to share in the set-aside, and what is management's current estimate of CCI's recoverable amount? Has the court judgment timeline changed since the Nareit conference?</w:t>
      </w:r>
    </w:p>
    <w:p>
      <w:pPr>
        <w:pStyle w:val="ListNumber"/>
        <w:ind w:left="360" w:hanging="360"/>
      </w:pPr>
      <w:r>
        <w:rPr>
          <w:rFonts w:ascii="Calibri" w:hAnsi="Calibri"/>
          <w:b/>
          <w:color w:val="525866"/>
          <w:sz w:val="22"/>
        </w:rPr>
        <w:t>Share Buyback Execution:</w:t>
      </w:r>
      <w:r>
        <w:rPr>
          <w:rFonts w:ascii="Calibri" w:hAnsi="Calibri"/>
          <w:color w:val="525866"/>
          <w:sz w:val="22"/>
        </w:rPr>
        <w:t xml:space="preserve"> How much of the $1B buyback authorization has been executed in Q2? At what average price? Does management intend to accelerate buybacks given the ~13% stock decline from the May 5 Director purchase price?</w:t>
      </w:r>
    </w:p>
    <w:p>
      <w:pPr>
        <w:pStyle w:val="ListNumber"/>
        <w:ind w:left="360" w:hanging="360"/>
      </w:pPr>
      <w:r>
        <w:rPr>
          <w:rFonts w:ascii="Calibri" w:hAnsi="Calibri"/>
          <w:b/>
          <w:color w:val="525866"/>
          <w:sz w:val="22"/>
        </w:rPr>
        <w:t>Organic Growth Trajectory — Q3 and Q4 Ramp:</w:t>
      </w:r>
      <w:r>
        <w:rPr>
          <w:rFonts w:ascii="Calibri" w:hAnsi="Calibri"/>
          <w:color w:val="525866"/>
          <w:sz w:val="22"/>
        </w:rPr>
        <w:t xml:space="preserve"> Management guided to a "second-half loaded" growth profile. What specific drivers underpin the H2 acceleration? Is the MLA activity with AT&amp;T (deploying EchoStar 3.45 GHz spectrum) already generating incremental revenue, or is this still in the pipeline?</w:t>
      </w:r>
    </w:p>
    <w:p>
      <w:pPr>
        <w:pStyle w:val="ListNumber"/>
        <w:ind w:left="360" w:hanging="360"/>
      </w:pPr>
      <w:r>
        <w:rPr>
          <w:rFonts w:ascii="Calibri" w:hAnsi="Calibri"/>
          <w:b/>
          <w:color w:val="525866"/>
          <w:sz w:val="22"/>
        </w:rPr>
        <w:t>AT&amp;T EchoStar Spectrum Deployment on CCI Towers:</w:t>
      </w:r>
      <w:r>
        <w:rPr>
          <w:rFonts w:ascii="Calibri" w:hAnsi="Calibri"/>
          <w:color w:val="525866"/>
          <w:sz w:val="22"/>
        </w:rPr>
        <w:t xml:space="preserve"> AT&amp;T confirmed at the June Mizuho conference that it is deploying the "large majority" of the 3.45 GHz EchoStar spectrum. How much of this deployment is occurring on CCI towers? What is the revenue contribution in Q2, and what is the expected ramp through year-end?</w:t>
      </w:r>
    </w:p>
    <w:p>
      <w:pPr>
        <w:pStyle w:val="ListNumber"/>
        <w:ind w:left="360" w:hanging="360"/>
      </w:pPr>
      <w:r>
        <w:rPr>
          <w:rFonts w:ascii="Calibri" w:hAnsi="Calibri"/>
          <w:b/>
          <w:color w:val="525866"/>
          <w:sz w:val="22"/>
        </w:rPr>
        <w:t>Land Acquisition Progress:</w:t>
      </w:r>
      <w:r>
        <w:rPr>
          <w:rFonts w:ascii="Calibri" w:hAnsi="Calibri"/>
          <w:color w:val="525866"/>
          <w:sz w:val="22"/>
        </w:rPr>
        <w:t xml:space="preserve"> Management targeted increasing owned land from ~30% to ~40% of tower sites over the next several years. What percentage of land is now owned? How much CapEx was deployed on land acquisitions in Q2, and is the $200M FY discretionary CapEx guidance still appropriate?</w:t>
      </w:r>
    </w:p>
    <w:p>
      <w:pPr>
        <w:pStyle w:val="ListNumber"/>
        <w:ind w:left="360" w:hanging="360"/>
      </w:pPr>
      <w:r>
        <w:rPr>
          <w:rFonts w:ascii="Calibri" w:hAnsi="Calibri"/>
          <w:b/>
          <w:color w:val="525866"/>
          <w:sz w:val="22"/>
        </w:rPr>
        <w:t>Edge Compute / AI Inference (Project Qestrel):</w:t>
      </w:r>
      <w:r>
        <w:rPr>
          <w:rFonts w:ascii="Calibri" w:hAnsi="Calibri"/>
          <w:color w:val="525866"/>
          <w:sz w:val="22"/>
        </w:rPr>
        <w:t xml:space="preserve"> What are the early results from the Available Infrastructure partnership? How many tower sites are in the trial? Is there a path to commercial revenue in 2026 or 2027, and what would the economics look like at scale?</w:t>
      </w:r>
    </w:p>
    <w:p>
      <w:pPr>
        <w:pStyle w:val="ListNumber"/>
        <w:ind w:left="360" w:hanging="360"/>
      </w:pPr>
      <w:r>
        <w:rPr>
          <w:rFonts w:ascii="Calibri" w:hAnsi="Calibri"/>
          <w:b/>
          <w:color w:val="525866"/>
          <w:sz w:val="22"/>
        </w:rPr>
        <w:t>SG&amp;A Reduction Progress:</w:t>
      </w:r>
      <w:r>
        <w:rPr>
          <w:rFonts w:ascii="Calibri" w:hAnsi="Calibri"/>
          <w:color w:val="525866"/>
          <w:sz w:val="22"/>
        </w:rPr>
        <w:t xml:space="preserve"> The Q1 restructuring delivered $65M in annualized run-rate savings. Are there additional restructuring actions planned? What is the timeline to reach "best-in-class" SG&amp;A as a percentage of revenues, and what is the specific target?</w:t>
      </w:r>
    </w:p>
    <w:p>
      <w:pPr>
        <w:pStyle w:val="ListNumber"/>
        <w:ind w:left="360" w:hanging="360"/>
      </w:pPr>
      <w:r>
        <w:rPr>
          <w:rFonts w:ascii="Calibri" w:hAnsi="Calibri"/>
          <w:b/>
          <w:color w:val="525866"/>
          <w:sz w:val="22"/>
        </w:rPr>
        <w:t>SpaceX/Starlink Impact Assessment:</w:t>
      </w:r>
      <w:r>
        <w:rPr>
          <w:rFonts w:ascii="Calibri" w:hAnsi="Calibri"/>
          <w:color w:val="525866"/>
          <w:sz w:val="22"/>
        </w:rPr>
        <w:t xml:space="preserve"> Given the significant carrier stock selloff in late June on SpaceX mobile concerns, has management had any conversations with AT&amp;T, Verizon, or T-Mobile about potential changes to their network investment plans? Is there any scenario where satellite competition would reduce tower leasing demand in the 2026–2028 timeframe?</w:t>
      </w:r>
    </w:p>
    <w:p>
      <w:pPr>
        <w:pStyle w:val="ListNumber"/>
        <w:ind w:left="360" w:hanging="360"/>
      </w:pPr>
      <w:r>
        <w:rPr>
          <w:rFonts w:ascii="Calibri" w:hAnsi="Calibri"/>
          <w:b/>
          <w:color w:val="525866"/>
          <w:sz w:val="22"/>
        </w:rPr>
        <w:t>Dividend Policy:</w:t>
      </w:r>
      <w:r>
        <w:rPr>
          <w:rFonts w:ascii="Calibri" w:hAnsi="Calibri"/>
          <w:color w:val="525866"/>
          <w:sz w:val="22"/>
        </w:rPr>
        <w:t xml:space="preserve"> Management previously indicated the dividend would "stay where it is now" ($4.25 annualized) with growth expected as AFFO grows. Given the stock is now trading at a ~5.6% dividend yield, is there any consideration of a dividend increase to attract income-oriented investors?</w:t>
      </w:r>
    </w:p>
    <w:p>
      <w:pPr>
        <w:pStyle w:val="ListNumber"/>
        <w:ind w:left="360" w:hanging="360"/>
      </w:pPr>
      <w:r>
        <w:rPr>
          <w:rFonts w:ascii="Calibri" w:hAnsi="Calibri"/>
          <w:b/>
          <w:color w:val="525866"/>
          <w:sz w:val="22"/>
        </w:rPr>
        <w:t>New Tower Build Pipeline:</w:t>
      </w:r>
      <w:r>
        <w:rPr>
          <w:rFonts w:ascii="Calibri" w:hAnsi="Calibri"/>
          <w:color w:val="525866"/>
          <w:sz w:val="22"/>
        </w:rPr>
        <w:t xml:space="preserve"> Management discussed new tower builds as an emerging opportunity requiring multiple anchor tenants. How many new tower builds are in the pipeline for 2026? What is the expected economics (yield on cost, payback period) for new builds at current construction cost levels?</w:t>
      </w:r>
    </w:p>
    <w:p>
      <w:pPr>
        <w:pStyle w:val="Heading2"/>
      </w:pPr>
      <w:r>
        <w:rPr>
          <w:rFonts w:ascii="Calibri" w:hAnsi="Calibri"/>
          <w:b/>
          <w:color w:val="3B4259"/>
          <w:sz w:val="28"/>
        </w:rPr>
        <w:t>Appendix: Valuation Context</w:t>
      </w:r>
    </w:p>
    <w:p>
      <w:r>
        <w:rPr>
          <w:rFonts w:ascii="Calibri" w:hAnsi="Calibri"/>
          <w:b/>
          <w:color w:val="525866"/>
          <w:sz w:val="22"/>
        </w:rPr>
        <w:t>CCI NTM EV/EBITDA Valuation vs. Specialty REIT Peers (as of July 21,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Company</w:t>
            </w:r>
          </w:p>
        </w:tc>
        <w:tc>
          <w:tcPr>
            <w:tcW w:type="dxa" w:w="1728"/>
            <w:shd w:val="clear" w:color="auto" w:fill="3B4259"/>
          </w:tcPr>
          <w:p>
            <w:r>
              <w:rPr>
                <w:rFonts w:ascii="Calibri" w:hAnsi="Calibri"/>
                <w:b/>
                <w:color w:val="FFFFFF"/>
                <w:sz w:val="22"/>
              </w:rPr>
              <w:t>NTM EV/EBITDA</w:t>
            </w:r>
          </w:p>
        </w:tc>
        <w:tc>
          <w:tcPr>
            <w:tcW w:type="dxa" w:w="1728"/>
            <w:shd w:val="clear" w:color="auto" w:fill="3B4259"/>
          </w:tcPr>
          <w:p>
            <w:r>
              <w:rPr>
                <w:rFonts w:ascii="Calibri" w:hAnsi="Calibri"/>
                <w:b/>
                <w:color w:val="FFFFFF"/>
                <w:sz w:val="22"/>
              </w:rPr>
              <w:t>vs. Peer Group Avg</w:t>
            </w:r>
          </w:p>
        </w:tc>
        <w:tc>
          <w:tcPr>
            <w:tcW w:type="dxa" w:w="1728"/>
            <w:shd w:val="clear" w:color="auto" w:fill="3B4259"/>
          </w:tcPr>
          <w:p>
            <w:r>
              <w:rPr>
                <w:rFonts w:ascii="Calibri" w:hAnsi="Calibri"/>
                <w:b/>
                <w:color w:val="FFFFFF"/>
                <w:sz w:val="22"/>
              </w:rPr>
              <w:t>3M Multiple Change</w:t>
            </w:r>
          </w:p>
        </w:tc>
        <w:tc>
          <w:tcPr>
            <w:tcW w:type="dxa" w:w="1728"/>
            <w:shd w:val="clear" w:color="auto" w:fill="3B4259"/>
          </w:tcPr>
          <w:p>
            <w:r>
              <w:rPr>
                <w:rFonts w:ascii="Calibri" w:hAnsi="Calibri"/>
                <w:b/>
                <w:color w:val="FFFFFF"/>
                <w:sz w:val="22"/>
              </w:rPr>
              <w:t>1Y Multiple Change</w:t>
            </w:r>
          </w:p>
        </w:tc>
      </w:tr>
      <w:tr>
        <w:tc>
          <w:tcPr>
            <w:tcW w:type="dxa" w:w="1728"/>
          </w:tcPr>
          <w:p>
            <w:r>
              <w:rPr>
                <w:rFonts w:ascii="Calibri" w:hAnsi="Calibri"/>
                <w:b/>
                <w:sz w:val="22"/>
              </w:rPr>
              <w:t>CCI (Focus)</w:t>
            </w:r>
          </w:p>
        </w:tc>
        <w:tc>
          <w:tcPr>
            <w:tcW w:type="dxa" w:w="1728"/>
          </w:tcPr>
          <w:p>
            <w:r>
              <w:rPr>
                <w:rFonts w:ascii="Calibri" w:hAnsi="Calibri"/>
                <w:sz w:val="22"/>
              </w:rPr>
              <w:t>23.2x</w:t>
            </w:r>
          </w:p>
        </w:tc>
        <w:tc>
          <w:tcPr>
            <w:tcW w:type="dxa" w:w="1728"/>
          </w:tcPr>
          <w:p>
            <w:r>
              <w:rPr>
                <w:rFonts w:ascii="Calibri" w:hAnsi="Calibri"/>
                <w:sz w:val="22"/>
              </w:rPr>
              <w:t>+46% premium</w:t>
            </w:r>
          </w:p>
        </w:tc>
        <w:tc>
          <w:tcPr>
            <w:tcW w:type="dxa" w:w="1728"/>
          </w:tcPr>
          <w:p>
            <w:r>
              <w:rPr>
                <w:rFonts w:ascii="Calibri" w:hAnsi="Calibri"/>
                <w:b/>
                <w:color w:val="E5484D"/>
                <w:sz w:val="22"/>
              </w:rPr>
              <w:t>−6.4%</w:t>
            </w:r>
          </w:p>
        </w:tc>
        <w:tc>
          <w:tcPr>
            <w:tcW w:type="dxa" w:w="1728"/>
          </w:tcPr>
          <w:p>
            <w:r>
              <w:rPr>
                <w:rFonts w:ascii="Calibri" w:hAnsi="Calibri"/>
                <w:b/>
                <w:color w:val="E5484D"/>
                <w:sz w:val="22"/>
              </w:rPr>
              <w:t>−4.5%</w:t>
            </w:r>
          </w:p>
        </w:tc>
      </w:tr>
      <w:tr>
        <w:tc>
          <w:tcPr>
            <w:tcW w:type="dxa" w:w="1728"/>
          </w:tcPr>
          <w:p>
            <w:r>
              <w:rPr>
                <w:rFonts w:ascii="Calibri" w:hAnsi="Calibri"/>
                <w:sz w:val="22"/>
              </w:rPr>
              <w:t>EQIX</w:t>
            </w:r>
          </w:p>
        </w:tc>
        <w:tc>
          <w:tcPr>
            <w:tcW w:type="dxa" w:w="1728"/>
          </w:tcPr>
          <w:p>
            <w:r>
              <w:rPr>
                <w:rFonts w:ascii="Calibri" w:hAnsi="Calibri"/>
                <w:sz w:val="22"/>
              </w:rPr>
              <w:t>21.7x</w:t>
            </w:r>
          </w:p>
        </w:tc>
        <w:tc>
          <w:tcPr>
            <w:tcW w:type="dxa" w:w="1728"/>
          </w:tcPr>
          <w:p>
            <w:r>
              <w:rPr>
                <w:rFonts w:ascii="Calibri" w:hAnsi="Calibri"/>
                <w:sz w:val="22"/>
              </w:rPr>
              <w:t>+35% premium</w:t>
            </w:r>
          </w:p>
        </w:tc>
        <w:tc>
          <w:tcPr>
            <w:tcW w:type="dxa" w:w="1728"/>
          </w:tcPr>
          <w:p>
            <w:r>
              <w:rPr>
                <w:rFonts w:ascii="Calibri" w:hAnsi="Calibri"/>
                <w:sz w:val="22"/>
              </w:rPr>
              <w:t>−9.4%</w:t>
            </w:r>
          </w:p>
        </w:tc>
        <w:tc>
          <w:tcPr>
            <w:tcW w:type="dxa" w:w="1728"/>
          </w:tcPr>
          <w:p>
            <w:r>
              <w:rPr>
                <w:rFonts w:ascii="Calibri" w:hAnsi="Calibri"/>
                <w:sz w:val="22"/>
              </w:rPr>
              <w:t>+12.0%</w:t>
            </w:r>
          </w:p>
        </w:tc>
      </w:tr>
      <w:tr>
        <w:tc>
          <w:tcPr>
            <w:tcW w:type="dxa" w:w="1728"/>
          </w:tcPr>
          <w:p>
            <w:r>
              <w:rPr>
                <w:rFonts w:ascii="Calibri" w:hAnsi="Calibri"/>
                <w:sz w:val="22"/>
              </w:rPr>
              <w:t>AMT</w:t>
            </w:r>
          </w:p>
        </w:tc>
        <w:tc>
          <w:tcPr>
            <w:tcW w:type="dxa" w:w="1728"/>
          </w:tcPr>
          <w:p>
            <w:r>
              <w:rPr>
                <w:rFonts w:ascii="Calibri" w:hAnsi="Calibri"/>
                <w:sz w:val="22"/>
              </w:rPr>
              <w:t>17.3x</w:t>
            </w:r>
          </w:p>
        </w:tc>
        <w:tc>
          <w:tcPr>
            <w:tcW w:type="dxa" w:w="1728"/>
          </w:tcPr>
          <w:p>
            <w:r>
              <w:rPr>
                <w:rFonts w:ascii="Calibri" w:hAnsi="Calibri"/>
                <w:sz w:val="22"/>
              </w:rPr>
              <w:t>+6% premium</w:t>
            </w:r>
          </w:p>
        </w:tc>
        <w:tc>
          <w:tcPr>
            <w:tcW w:type="dxa" w:w="1728"/>
          </w:tcPr>
          <w:p>
            <w:r>
              <w:rPr>
                <w:rFonts w:ascii="Calibri" w:hAnsi="Calibri"/>
                <w:sz w:val="22"/>
              </w:rPr>
              <w:t>−7.0%</w:t>
            </w:r>
          </w:p>
        </w:tc>
        <w:tc>
          <w:tcPr>
            <w:tcW w:type="dxa" w:w="1728"/>
          </w:tcPr>
          <w:p>
            <w:r>
              <w:rPr>
                <w:rFonts w:ascii="Calibri" w:hAnsi="Calibri"/>
                <w:sz w:val="22"/>
              </w:rPr>
              <w:t>−15.0%</w:t>
            </w:r>
          </w:p>
        </w:tc>
      </w:tr>
      <w:tr>
        <w:tc>
          <w:tcPr>
            <w:tcW w:type="dxa" w:w="1728"/>
          </w:tcPr>
          <w:p>
            <w:r>
              <w:rPr>
                <w:rFonts w:ascii="Calibri" w:hAnsi="Calibri"/>
                <w:sz w:val="22"/>
              </w:rPr>
              <w:t>SBAC</w:t>
            </w:r>
          </w:p>
        </w:tc>
        <w:tc>
          <w:tcPr>
            <w:tcW w:type="dxa" w:w="1728"/>
          </w:tcPr>
          <w:p>
            <w:r>
              <w:rPr>
                <w:rFonts w:ascii="Calibri" w:hAnsi="Calibri"/>
                <w:sz w:val="22"/>
              </w:rPr>
              <w:t>17.5x</w:t>
            </w:r>
          </w:p>
        </w:tc>
        <w:tc>
          <w:tcPr>
            <w:tcW w:type="dxa" w:w="1728"/>
          </w:tcPr>
          <w:p>
            <w:r>
              <w:rPr>
                <w:rFonts w:ascii="Calibri" w:hAnsi="Calibri"/>
                <w:sz w:val="22"/>
              </w:rPr>
              <w:t>+7% premium</w:t>
            </w:r>
          </w:p>
        </w:tc>
        <w:tc>
          <w:tcPr>
            <w:tcW w:type="dxa" w:w="1728"/>
          </w:tcPr>
          <w:p>
            <w:r>
              <w:rPr>
                <w:rFonts w:ascii="Calibri" w:hAnsi="Calibri"/>
                <w:sz w:val="22"/>
              </w:rPr>
              <w:t>−11.5%</w:t>
            </w:r>
          </w:p>
        </w:tc>
        <w:tc>
          <w:tcPr>
            <w:tcW w:type="dxa" w:w="1728"/>
          </w:tcPr>
          <w:p>
            <w:r>
              <w:rPr>
                <w:rFonts w:ascii="Calibri" w:hAnsi="Calibri"/>
                <w:sz w:val="22"/>
              </w:rPr>
              <w:t>−7.2%</w:t>
            </w:r>
          </w:p>
        </w:tc>
      </w:tr>
      <w:tr>
        <w:tc>
          <w:tcPr>
            <w:tcW w:type="dxa" w:w="1728"/>
          </w:tcPr>
          <w:p>
            <w:r>
              <w:rPr>
                <w:rFonts w:ascii="Calibri" w:hAnsi="Calibri"/>
                <w:sz w:val="22"/>
              </w:rPr>
              <w:t>IRM</w:t>
            </w:r>
          </w:p>
        </w:tc>
        <w:tc>
          <w:tcPr>
            <w:tcW w:type="dxa" w:w="1728"/>
          </w:tcPr>
          <w:p>
            <w:r>
              <w:rPr>
                <w:rFonts w:ascii="Calibri" w:hAnsi="Calibri"/>
                <w:sz w:val="22"/>
              </w:rPr>
              <w:t>18.2x</w:t>
            </w:r>
          </w:p>
        </w:tc>
        <w:tc>
          <w:tcPr>
            <w:tcW w:type="dxa" w:w="1728"/>
          </w:tcPr>
          <w:p>
            <w:r>
              <w:rPr>
                <w:rFonts w:ascii="Calibri" w:hAnsi="Calibri"/>
                <w:sz w:val="22"/>
              </w:rPr>
              <w:t>+12% premium</w:t>
            </w:r>
          </w:p>
        </w:tc>
        <w:tc>
          <w:tcPr>
            <w:tcW w:type="dxa" w:w="1728"/>
          </w:tcPr>
          <w:p>
            <w:r>
              <w:rPr>
                <w:rFonts w:ascii="Calibri" w:hAnsi="Calibri"/>
                <w:sz w:val="22"/>
              </w:rPr>
              <w:t>+1.0%</w:t>
            </w:r>
          </w:p>
        </w:tc>
        <w:tc>
          <w:tcPr>
            <w:tcW w:type="dxa" w:w="1728"/>
          </w:tcPr>
          <w:p>
            <w:r>
              <w:rPr>
                <w:rFonts w:ascii="Calibri" w:hAnsi="Calibri"/>
                <w:sz w:val="22"/>
              </w:rPr>
              <w:t>+9.2%</w:t>
            </w:r>
          </w:p>
        </w:tc>
      </w:tr>
      <w:tr>
        <w:tc>
          <w:tcPr>
            <w:tcW w:type="dxa" w:w="1728"/>
          </w:tcPr>
          <w:p>
            <w:r>
              <w:rPr>
                <w:rFonts w:ascii="Calibri" w:hAnsi="Calibri"/>
                <w:sz w:val="22"/>
              </w:rPr>
              <w:t>Peer Group Average (ex-CCI)</w:t>
            </w:r>
          </w:p>
        </w:tc>
        <w:tc>
          <w:tcPr>
            <w:tcW w:type="dxa" w:w="1728"/>
          </w:tcPr>
          <w:p>
            <w:r>
              <w:rPr>
                <w:rFonts w:ascii="Calibri" w:hAnsi="Calibri"/>
                <w:sz w:val="22"/>
              </w:rPr>
              <w:t>~15.9x</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w:t>
            </w:r>
          </w:p>
        </w:tc>
      </w:tr>
    </w:tbl>
    <w:p>
      <w:r>
        <w:rPr>
          <w:rFonts w:ascii="Calibri" w:hAnsi="Calibri"/>
          <w:b/>
          <w:color w:val="525866"/>
          <w:sz w:val="22"/>
        </w:rPr>
        <w:t xml:space="preserve">Source: Peer valuation data. </w:t>
      </w:r>
      <w:r>
        <w:rPr>
          <w:rFonts w:ascii="Calibri" w:hAnsi="Calibri"/>
          <w:color w:val="525866"/>
          <w:sz w:val="22"/>
        </w:rPr>
        <w:t>CCI's 46% EV/EBITDA premium to the specialty REIT peer group reflects its pure-play U.S. tower positioning and the high-quality, recurring nature of tower cash flows. However, this premium has compressed from historical levels as DISH litigation uncertainty and the organic growth trough have weighed on sentiment. The tower-specific peers (AMT at 17.3x, SBAC at 17.5x) trade at a meaningful discount to CCI, suggesting the market is assigning a premium for CCI's pure-play U.S. focus and post-divestiture simplicity. A resolution of the DISH litigation or a clearer path to organic growth acceleration could support multiple re-expansion toward the 25–27x range that CCI has historically commanded.</w:t>
      </w:r>
    </w:p>
    <w:p>
      <w:r>
        <w:rPr>
          <w:rFonts w:ascii="Calibri" w:hAnsi="Calibri"/>
          <w:b/>
          <w:color w:val="525866"/>
          <w:sz w:val="22"/>
        </w:rPr>
        <w:t>Disclaimer:</w:t>
      </w:r>
      <w:r>
        <w:rPr>
          <w:rFonts w:ascii="Calibri" w:hAnsi="Calibri"/>
          <w:color w:val="525866"/>
          <w:sz w:val="22"/>
        </w:rPr>
        <w:t xml:space="preserve"> This earnings preview is prepared for informational purposes only. All consensus estimates sourced from Visible Alpha as of July 21, 2026. Stock price data sourced from Yahoo Finance. Insider transaction data sourced from SEC Form 4 filings. All figures are subject to revision. This document does not constitute investment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