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dns-earnings-predictions--2026-07-27"/>
    <w:p>
      <w:pPr>
        <w:pStyle w:val="Heading1"/>
      </w:pPr>
      <w:r>
        <w:t xml:space="preserve">CDNS Earnings Predictions — 2026-07-27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CDNS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Q2'26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1.60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1.582B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CDNS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Q2'26 Non-GAAP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2.12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2.06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CDNS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Q2'26 Non-GAAP Operating Margin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~45.6% vs. cons ~45.0%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CDNS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Revenue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6.25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6.21B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CDNS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Non-GAAP EPS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8.00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7.93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CDNS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Q3'26 Revenue guide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1.60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1.62B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CDNS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Q3'26 Non-GAAP EPS guide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2.02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2.06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CDNS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Record Backlog / RPO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8.2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p</m:t>
              </m:r>
              <m:r>
                <m:t>r</m:t>
              </m:r>
              <m:r>
                <m:t>i</m:t>
              </m:r>
              <m:r>
                <m:t>o</m:t>
              </m:r>
              <m:r>
                <m:t>r</m:t>
              </m:r>
              <m:r>
                <m:t> </m:t>
              </m:r>
            </m:oMath>
            <w:r>
              <w:t xml:space="preserve">8.0B (Q2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CDNS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+4.0%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CDNS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+1.5% (FADE)</w:t>
            </w:r>
          </w:p>
        </w:tc>
        <w:tc>
          <w:tcPr/>
          <w:p>
            <w:pPr>
              <w:pStyle w:val="Compact"/>
            </w:pPr>
            <w:r>
              <w:t xml:space="preserve">Beaten-down, de-rated stock (~-22% from June peak) sets a low bar, so a clean Q2 beat plus a modest organic FY raise and 'Rule of 60' milestone should trigger a relief pop on day 1. But the out-period math caps follow-through: the FY midpoint implies H2 run-rate (~$1.56B/qtr) roughly flat-to-below the Q2 level, so the Q3 guide likely lands soft vs. consensus building in acceleration, pulling out-quarter estimates down even after the beat. Combined with the sector-wide multiple compression overhang (July 17 -9.5% move alongside SNPS), the initial gain partially fades over 5 days.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2026-07-27T00:07:28Z</dcterms:created>
  <dcterms:modified xsi:type="dcterms:W3CDTF">2026-07-27T00:07:28Z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