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Cadence Design Systems (CDNS) to build a well-informed earnings preview. Let me start gathering data.Interesting - the dates reflect a 2026 fiscal calendar. Let me read the most recent quarter's release and call, plus gather stock performance and sector context.I have the key Q1 2026 data and Q2 guidance. Now let me pull stock performance and recent sector/peer context.There was a sharp sector-wide drop around July 16-17. Let me investigate what happened and get the latest context.Let me get the year-ago Q2 2025 actuals to frame the YoY comparison, and check what drove the mid-July sector selloff.I now have comprehensive data. Let me run a few precise calculations before writing.I have everything I need. Here is the earnings preview.</w:t>
      </w:r>
    </w:p>
    <w:p>
      <w:r>
        <w:pict>
          <v:rect style="width:0;height:1.5pt" o:hralign="center" o:hrstd="t" o:hr="t"/>
        </w:pict>
      </w:r>
    </w:p>
    <w:bookmarkStart w:id="15" w:name="X35596cfcd9c6758821e0b0d370af3841a13e962"/>
    <w:p>
      <w:pPr>
        <w:pStyle w:val="Heading1"/>
      </w:pPr>
      <w:r>
        <w:t xml:space="preserve">Cadence Design Systems (CDNS) — Q2 2026 Earnings Preview</w:t>
      </w:r>
    </w:p>
    <w:p>
      <w:pPr>
        <w:pStyle w:val="FirstParagraph"/>
      </w:pPr>
      <w:r>
        <w:rPr>
          <w:b/>
          <w:bCs/>
        </w:rPr>
        <w:t xml:space="preserve">Report date:</w:t>
      </w:r>
      <w:r>
        <w:t xml:space="preserve"> </w:t>
      </w:r>
      <w:r>
        <w:t xml:space="preserve">Tuesday, July 27, 2026 (after close) ·</w:t>
      </w:r>
      <w:r>
        <w:t xml:space="preserve"> </w:t>
      </w:r>
      <w:r>
        <w:rPr>
          <w:b/>
          <w:bCs/>
        </w:rPr>
        <w:t xml:space="preserve">Event:</w:t>
      </w:r>
      <w:r>
        <w:t xml:space="preserve"> </w:t>
      </w:r>
      <w:r>
        <w:t xml:space="preserve">Q2 2026 Earnings Call</w:t>
      </w:r>
    </w:p>
    <w:bookmarkStart w:id="9" w:name="the-setup-in-one-line"/>
    <w:p>
      <w:pPr>
        <w:pStyle w:val="Heading2"/>
      </w:pPr>
      <w:r>
        <w:t xml:space="preserve">The setup in one line</w:t>
      </w:r>
    </w:p>
    <w:p>
      <w:pPr>
        <w:pStyle w:val="FirstParagraph"/>
      </w:pPr>
      <w:r>
        <w:t xml:space="preserve">Cadence heads into Q2 with a fundamentally strong story — record backlog, accelerating AI-driven demand, and a raised full-year outlook — but a stock that has de-rated sharply over the past six weeks. The tension between excellent fundamentals and a nervous tape is the key thing to watch.</w:t>
      </w:r>
    </w:p>
    <w:bookmarkEnd w:id="9"/>
    <w:bookmarkStart w:id="10" w:name="what-management-guided-for"/>
    <w:p>
      <w:pPr>
        <w:pStyle w:val="Heading2"/>
      </w:pPr>
      <w:r>
        <w:t xml:space="preserve">What management guided for</w:t>
      </w:r>
    </w:p>
    <w:p>
      <w:pPr>
        <w:pStyle w:val="FirstParagraph"/>
      </w:pPr>
      <w:r>
        <w:t xml:space="preserve">On the Q1 call (April 27), CFO John Wall set Q2 2026 guidance at: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Q2 2025 Actual</w:t>
            </w:r>
          </w:p>
        </w:tc>
        <w:tc>
          <w:tcPr/>
          <w:p>
            <w:pPr>
              <w:pStyle w:val="Compact"/>
            </w:pPr>
            <w:r>
              <w:t xml:space="preserve">Implied YoY</w:t>
            </w:r>
          </w:p>
        </w:tc>
      </w:tr>
      <w:tr>
        <w:tc>
          <w:tcPr/>
          <w:p>
            <w:pPr>
              <w:pStyle w:val="Compact"/>
            </w:pPr>
            <w:r>
              <w:t xml:space="preserve">Revenue</w:t>
            </w:r>
          </w:p>
        </w:tc>
        <w:tc>
          <w:tcPr/>
          <w:p>
            <w:pPr>
              <w:pStyle w:val="Compact"/>
            </w:pPr>
            <w:r>
              <w:t xml:space="preserve">$1.555B – $1.595B</w:t>
            </w:r>
          </w:p>
        </w:tc>
        <w:tc>
          <w:tcPr/>
          <w:p>
            <w:pPr>
              <w:pStyle w:val="Compact"/>
            </w:pPr>
            <w:r>
              <w:t xml:space="preserve">$1.275B</w:t>
            </w:r>
          </w:p>
        </w:tc>
        <w:tc>
          <w:tcPr/>
          <w:p>
            <w:pPr>
              <w:pStyle w:val="Compact"/>
            </w:pPr>
            <w:r>
              <w:rPr>
                <w:b/>
                <w:bCs/>
              </w:rPr>
              <w:t xml:space="preserve">~23.5%</w:t>
            </w:r>
          </w:p>
        </w:tc>
      </w:tr>
      <w:tr>
        <w:tc>
          <w:tcPr/>
          <w:p>
            <w:pPr>
              <w:pStyle w:val="Compact"/>
            </w:pPr>
            <w:r>
              <w:t xml:space="preserve">Non-GAAP EPS</w:t>
            </w:r>
          </w:p>
        </w:tc>
        <w:tc>
          <w:tcPr/>
          <w:p>
            <w:pPr>
              <w:pStyle w:val="Compact"/>
            </w:pPr>
            <w:r>
              <w:t xml:space="preserve">$2.02 – $2.08</w:t>
            </w:r>
          </w:p>
        </w:tc>
        <w:tc>
          <w:tcPr/>
          <w:p>
            <w:pPr>
              <w:pStyle w:val="Compact"/>
            </w:pPr>
            <w:r>
              <w:t xml:space="preserve">$1.65</w:t>
            </w:r>
          </w:p>
        </w:tc>
        <w:tc>
          <w:tcPr/>
          <w:p>
            <w:pPr>
              <w:pStyle w:val="Compact"/>
            </w:pPr>
            <w:r>
              <w:rPr>
                <w:b/>
                <w:bCs/>
              </w:rPr>
              <w:t xml:space="preserve">~24%</w:t>
            </w:r>
          </w:p>
        </w:tc>
      </w:tr>
      <w:tr>
        <w:tc>
          <w:tcPr/>
          <w:p>
            <w:pPr>
              <w:pStyle w:val="Compact"/>
            </w:pPr>
            <w:r>
              <w:t xml:space="preserve">GAAP EPS</w:t>
            </w:r>
          </w:p>
        </w:tc>
        <w:tc>
          <w:tcPr/>
          <w:p>
            <w:pPr>
              <w:pStyle w:val="Compact"/>
            </w:pPr>
            <w:r>
              <w:t xml:space="preserve">$1.07 – $1.13</w:t>
            </w:r>
          </w:p>
        </w:tc>
        <w:tc>
          <w:tcPr/>
          <w:p>
            <w:pPr>
              <w:pStyle w:val="Compact"/>
            </w:pPr>
            <w:r>
              <w:t xml:space="preserve">$0.59*</w:t>
            </w:r>
          </w:p>
        </w:tc>
        <w:tc>
          <w:tcPr/>
          <w:p>
            <w:pPr>
              <w:pStyle w:val="Compact"/>
            </w:pPr>
            <w:r>
              <w:t xml:space="preserve">—</w:t>
            </w:r>
          </w:p>
        </w:tc>
      </w:tr>
      <w:tr>
        <w:tc>
          <w:tcPr/>
          <w:p>
            <w:pPr>
              <w:pStyle w:val="Compact"/>
            </w:pPr>
            <w:r>
              <w:t xml:space="preserve">Non-GAAP op. margin</w:t>
            </w:r>
          </w:p>
        </w:tc>
        <w:tc>
          <w:tcPr/>
          <w:p>
            <w:pPr>
              <w:pStyle w:val="Compact"/>
            </w:pPr>
            <w:r>
              <w:t xml:space="preserve">44.5% – 45.5%</w:t>
            </w:r>
          </w:p>
        </w:tc>
        <w:tc>
          <w:tcPr/>
          <w:p>
            <w:pPr>
              <w:pStyle w:val="Compact"/>
            </w:pPr>
            <w:r>
              <w:t xml:space="preserve">42.8%</w:t>
            </w:r>
          </w:p>
        </w:tc>
        <w:tc>
          <w:tcPr/>
          <w:p>
            <w:pPr>
              <w:pStyle w:val="Compact"/>
            </w:pPr>
            <w:r>
              <w:t xml:space="preserve">+~200bps</w:t>
            </w:r>
          </w:p>
        </w:tc>
      </w:tr>
    </w:tbl>
    <w:p>
      <w:pPr>
        <w:pStyle w:val="BodyText"/>
      </w:pPr>
      <w:r>
        <w:t xml:space="preserve">For Q2, Cadence guided revenue in the range of $1.555 billion to $1.595 billion; GAAP operating margin of 28.5% to 29.5%; non-GAAP operating margin of 44.5% to 45.5%; GAAP EPS of $1.07 to $1.13; and non-GAAP EPS of $2.02 to $2.08. Note the ~24% headline growth is flattered by the Hexagon D&amp;E acquisition and an easy year-ago compare — *(Q2 2025 GAAP EPS was depressed by a one-time $140.6M DOJ/BIS legal settlement charge).</w:t>
      </w:r>
    </w:p>
    <w:p>
      <w:pPr>
        <w:pStyle w:val="BodyText"/>
      </w:pPr>
      <w:r>
        <w:t xml:space="preserve">At the full-year level, Cadence raised its 2026 revenue outlook to approximately 17% year-over-year growth, to a range of $6.125 billion to $6.225 billion, with non-GAAP EPS of $7.85 to $7.95, operating cash flow of $1.875 billion to $1.975 billion, and plans to use approximately 50% of free cash flow to repurchase shares in 2026. Management also flagged an aspirational milestone: given the accelerating momentum of the business, Cadence raised its 2026 revenue growth outlook to 17% and expects to achieve the Rule of 60 for the first time.</w:t>
      </w:r>
    </w:p>
    <w:bookmarkEnd w:id="10"/>
    <w:bookmarkStart w:id="11" w:name="why-q1-set-a-high-bar"/>
    <w:p>
      <w:pPr>
        <w:pStyle w:val="Heading2"/>
      </w:pPr>
      <w:r>
        <w:t xml:space="preserve">Why Q1 set a high bar</w:t>
      </w:r>
    </w:p>
    <w:p>
      <w:pPr>
        <w:pStyle w:val="FirstParagraph"/>
      </w:pPr>
      <w:r>
        <w:t xml:space="preserve">Q1 2026 was, by the company's own framing, one of its best-ever starts:</w:t>
      </w:r>
    </w:p>
    <w:p>
      <w:pPr>
        <w:pStyle w:val="Compact"/>
        <w:numPr>
          <w:ilvl w:val="0"/>
          <w:numId w:val="1001"/>
        </w:numPr>
      </w:pPr>
      <w:r>
        <w:t xml:space="preserve">Total revenue was $1.474 billion, GAAP operating margin was 29.3%, non-GAAP operating margin was 44.7%, GAAP EPS was $1.23, and non-GAAP EPS was $1.96.</w:t>
      </w:r>
    </w:p>
    <w:p>
      <w:pPr>
        <w:pStyle w:val="Compact"/>
        <w:numPr>
          <w:ilvl w:val="0"/>
          <w:numId w:val="1001"/>
        </w:numPr>
      </w:pPr>
      <w:r>
        <w:t xml:space="preserve">First quarter bookings were ahead of expectations, resulting in a record backlog of $8 billion — up from $6.4B a year earlier.</w:t>
      </w:r>
    </w:p>
    <w:p>
      <w:pPr>
        <w:pStyle w:val="Compact"/>
        <w:numPr>
          <w:ilvl w:val="0"/>
          <w:numId w:val="1001"/>
        </w:numPr>
      </w:pPr>
      <w:r>
        <w:t xml:space="preserve">Broad-based strength: Core EDA revenue grew 18% year-over-year, the IP business achieved 22% year-over-year growth, and System Design and Analysis revenue increased 18% year-over-year.</w:t>
      </w:r>
    </w:p>
    <w:p>
      <w:pPr>
        <w:pStyle w:val="Compact"/>
        <w:numPr>
          <w:ilvl w:val="0"/>
          <w:numId w:val="1001"/>
        </w:numPr>
      </w:pPr>
      <w:r>
        <w:t xml:space="preserve">Hardware delivered a record quarter, led by strong demand from AI and high-performance computing customers, along with growing adoption in automotive and robotics markets.</w:t>
      </w:r>
    </w:p>
    <w:p>
      <w:pPr>
        <w:pStyle w:val="FirstParagraph"/>
      </w:pPr>
      <w:r>
        <w:t xml:space="preserve">Importantly, the Q1 raise was small on an organic basis once the acquisition is stripped out: backing out the $160 million of Hexagon and the $0.28 dilution, Cadence raised the year by $65 million at the midpoint for revenue and about $0.08 for EPS. Management chose not to raise the second half further, calling it too early after one quarter.</w:t>
      </w:r>
    </w:p>
    <w:bookmarkEnd w:id="11"/>
    <w:bookmarkStart w:id="12" w:name="key-things-to-watch-on-the-print"/>
    <w:p>
      <w:pPr>
        <w:pStyle w:val="Heading2"/>
      </w:pPr>
      <w:r>
        <w:t xml:space="preserve">Key things to watch on the print</w:t>
      </w:r>
    </w:p>
    <w:p>
      <w:pPr>
        <w:pStyle w:val="FirstParagraph"/>
      </w:pPr>
      <w:r>
        <w:rPr>
          <w:b/>
          <w:bCs/>
        </w:rPr>
        <w:t xml:space="preserve">1. Backlog and bookings momentum.</w:t>
      </w:r>
      <w:r>
        <w:t xml:space="preserve"> </w:t>
      </w:r>
      <w:r>
        <w:t xml:space="preserve">With backlog at a record $8.0B, the trajectory of bookings is now the single most important leading indicator. Management noted 2026 is lighter than 2025 for actual renewals on an annual value basis, but that these are often some of the strongest growth years because of add-on activity. Watch whether the add-on/consumption strength persists.</w:t>
      </w:r>
    </w:p>
    <w:p>
      <w:pPr>
        <w:pStyle w:val="BodyText"/>
      </w:pPr>
      <w:r>
        <w:rPr>
          <w:b/>
          <w:bCs/>
        </w:rPr>
        <w:t xml:space="preserve">2. Will they raise the full year again?</w:t>
      </w:r>
      <w:r>
        <w:t xml:space="preserve"> </w:t>
      </w:r>
      <w:r>
        <w:t xml:space="preserve">Management deliberately held the second half flat in April. They described the first half as very strong and the second half as containing "appropriate prudence." The implied math is notable: with Q1 at</w:t>
      </w:r>
      <w:r>
        <w:t xml:space="preserve"> </w:t>
      </w:r>
      <m:oMath>
        <m:r>
          <m:t>1.474</m:t>
        </m:r>
        <m:r>
          <m:t>B</m:t>
        </m:r>
        <m:r>
          <m:t>a</m:t>
        </m:r>
        <m:r>
          <m:t>n</m:t>
        </m:r>
        <m:r>
          <m:t>d</m:t>
        </m:r>
        <m:r>
          <m:t>Q</m:t>
        </m:r>
        <m:r>
          <m:t>2</m:t>
        </m:r>
        <m:r>
          <m:t>g</m:t>
        </m:r>
        <m:r>
          <m:t>u</m:t>
        </m:r>
        <m:r>
          <m:t>i</m:t>
        </m:r>
        <m:r>
          <m:t>d</m:t>
        </m:r>
        <m:r>
          <m:t>e</m:t>
        </m:r>
        <m:r>
          <m:t>d</m:t>
        </m:r>
        <m:r>
          <m:t>t</m:t>
        </m:r>
        <m:r>
          <m:t>o</m:t>
        </m:r>
        <m:r>
          <m:t>a</m:t>
        </m:r>
        <m:r>
          <m:t> </m:t>
        </m:r>
      </m:oMath>
      <w:r>
        <w:t xml:space="preserve">1.575B midpoint, the FY midpoint of ~</w:t>
      </w:r>
      <m:oMath>
        <m:r>
          <m:t>6.175</m:t>
        </m:r>
        <m:r>
          <m:t>B</m:t>
        </m:r>
        <m:r>
          <m:t>i</m:t>
        </m:r>
        <m:r>
          <m:t>m</m:t>
        </m:r>
        <m:r>
          <m:t>p</m:t>
        </m:r>
        <m:r>
          <m:t>l</m:t>
        </m:r>
        <m:r>
          <m:t>i</m:t>
        </m:r>
        <m:r>
          <m:t>e</m:t>
        </m:r>
        <m:r>
          <m:t>s</m:t>
        </m:r>
        <m:r>
          <m:rPr>
            <m:sty m:val="p"/>
          </m:rPr>
          <m:t>*</m:t>
        </m:r>
        <m:r>
          <m:rPr>
            <m:sty m:val="p"/>
          </m:rPr>
          <m:t>*</m:t>
        </m:r>
        <m:r>
          <m:t>H</m:t>
        </m:r>
        <m:r>
          <m:t>2</m:t>
        </m:r>
        <m:r>
          <m:t>r</m:t>
        </m:r>
        <m:r>
          <m:t>e</m:t>
        </m:r>
        <m:r>
          <m:t>v</m:t>
        </m:r>
        <m:r>
          <m:t>e</m:t>
        </m:r>
        <m:r>
          <m:t>n</m:t>
        </m:r>
        <m:r>
          <m:t>u</m:t>
        </m:r>
        <m:r>
          <m:t>e</m:t>
        </m:r>
        <m:r>
          <m:t>o</m:t>
        </m:r>
        <m:r>
          <m:t>f</m:t>
        </m:r>
        <m:r>
          <m:t> </m:t>
        </m:r>
      </m:oMath>
      <w:r>
        <w:t xml:space="preserve">3.13B, or ~$1.56B per quarter — slightly</w:t>
      </w:r>
      <w:r>
        <w:t xml:space="preserve"> </w:t>
      </w:r>
      <w:r>
        <w:rPr>
          <w:i/>
          <w:iCs/>
        </w:rPr>
        <w:t xml:space="preserve">below</w:t>
      </w:r>
      <w:r>
        <w:t xml:space="preserve"> </w:t>
      </w:r>
      <w:r>
        <w:t xml:space="preserve">the Q2 run-rate.** A Q2 beat plus a full-year raise would confirm the second-half conservatism was real; anything less could disappoint given the valuation.</w:t>
      </w:r>
    </w:p>
    <w:p>
      <w:pPr>
        <w:pStyle w:val="BodyText"/>
      </w:pPr>
      <w:r>
        <w:rPr>
          <w:b/>
          <w:bCs/>
        </w:rPr>
        <w:t xml:space="preserve">3. AI/agentic monetization signal.</w:t>
      </w:r>
      <w:r>
        <w:t xml:space="preserve"> </w:t>
      </w:r>
      <w:r>
        <w:t xml:space="preserve">The bull case rests on agentic AI expanding both TAM and base-tool consumption. Management's monetization framework is twofold: new agentic workflow products priced on usage/consumption, plus increased usage of underlying base tools through more exploration, verification and optimization. Crucially, they are being disciplined in the 2026 outlook and are not assuming a sudden step function in AI monetization in the guide. Any hard datapoints on ChipStack/AgentStack conversion from evaluation to paid would be a positive catalyst.</w:t>
      </w:r>
    </w:p>
    <w:p>
      <w:pPr>
        <w:pStyle w:val="BodyText"/>
      </w:pPr>
      <w:r>
        <w:rPr>
          <w:b/>
          <w:bCs/>
        </w:rPr>
        <w:t xml:space="preserve">4. Hexagon integration.</w:t>
      </w:r>
      <w:r>
        <w:t xml:space="preserve"> </w:t>
      </w:r>
      <w:r>
        <w:t xml:space="preserve">2026 is an integration year. Hexagon D&amp;E is expected to add $160 million of revenue this year, be dilutive to the tune of about $0.28, with the margin impact on the $160 million in the 5% to 10% range; it is expected to be accretive in 2027. Watch for margin cadence and integration commentary — and note Hexagon is first-half weighted, which is part of why H2 looks soft.</w:t>
      </w:r>
    </w:p>
    <w:p>
      <w:pPr>
        <w:pStyle w:val="BodyText"/>
      </w:pPr>
      <w:r>
        <w:rPr>
          <w:b/>
          <w:bCs/>
        </w:rPr>
        <w:t xml:space="preserve">5. China and export controls.</w:t>
      </w:r>
      <w:r>
        <w:t xml:space="preserve"> </w:t>
      </w:r>
      <w:r>
        <w:t xml:space="preserve">The outlook carries the usual assumption that export control regulations that exist today remain substantially similar for the remainder of the year. China was 13% of Q1 revenue and is still expected to be about 13% for the year, though it can be lumpy quarter-to-quarter. With US-China AI/export-control tensions escalating again in July (fresh sanction threats, AI-model disputes), any commentary on the China backdrop matters.</w:t>
      </w:r>
    </w:p>
    <w:bookmarkEnd w:id="12"/>
    <w:bookmarkStart w:id="13" w:name="the-stock-fundamentals-strong-tape-weak"/>
    <w:p>
      <w:pPr>
        <w:pStyle w:val="Heading2"/>
      </w:pPr>
      <w:r>
        <w:t xml:space="preserve">The stock: fundamentals strong, tape weak</w:t>
      </w:r>
    </w:p>
    <w:p>
      <w:pPr>
        <w:pStyle w:val="FirstParagraph"/>
      </w:pPr>
      <w:r>
        <w:t xml:space="preserve">This is the crux of the setup. CDNS closed around</w:t>
      </w:r>
      <w:r>
        <w:t xml:space="preserve"> </w:t>
      </w:r>
      <w:r>
        <w:rPr>
          <w:b/>
          <w:bCs/>
        </w:rPr>
        <w:t xml:space="preserve">$326</w:t>
      </w:r>
      <w:r>
        <w:t xml:space="preserve"> </w:t>
      </w:r>
      <w:r>
        <w:t xml:space="preserve">on July 24, and the picture has deteriorated:</w:t>
      </w:r>
    </w:p>
    <w:p>
      <w:pPr>
        <w:pStyle w:val="Compact"/>
        <w:numPr>
          <w:ilvl w:val="0"/>
          <w:numId w:val="1002"/>
        </w:numPr>
      </w:pPr>
      <w:r>
        <w:t xml:space="preserve">Up only</w:t>
      </w:r>
      <w:r>
        <w:t xml:space="preserve"> </w:t>
      </w:r>
      <w:r>
        <w:rPr>
          <w:b/>
          <w:bCs/>
        </w:rPr>
        <w:t xml:space="preserve">~4% YTD</w:t>
      </w:r>
      <w:r>
        <w:t xml:space="preserve"> </w:t>
      </w:r>
      <w:r>
        <w:t xml:space="preserve">(from $312.58 at 2025 year-end), a marked deceleration.</w:t>
      </w:r>
    </w:p>
    <w:p>
      <w:pPr>
        <w:pStyle w:val="Compact"/>
        <w:numPr>
          <w:ilvl w:val="0"/>
          <w:numId w:val="1002"/>
        </w:numPr>
      </w:pPr>
      <w:r>
        <w:rPr>
          <w:b/>
          <w:bCs/>
        </w:rPr>
        <w:t xml:space="preserve">Down ~22%</w:t>
      </w:r>
      <w:r>
        <w:t xml:space="preserve"> </w:t>
      </w:r>
      <w:r>
        <w:t xml:space="preserve">from its June 1, 2026 peak (~$416).</w:t>
      </w:r>
    </w:p>
    <w:p>
      <w:pPr>
        <w:pStyle w:val="Compact"/>
        <w:numPr>
          <w:ilvl w:val="0"/>
          <w:numId w:val="1002"/>
        </w:numPr>
      </w:pPr>
      <w:r>
        <w:t xml:space="preserve">A sharp</w:t>
      </w:r>
      <w:r>
        <w:t xml:space="preserve"> </w:t>
      </w:r>
      <w:r>
        <w:rPr>
          <w:b/>
          <w:bCs/>
        </w:rPr>
        <w:t xml:space="preserve">~9.5% single-day drop on July 17</w:t>
      </w:r>
      <w:r>
        <w:t xml:space="preserve"> </w:t>
      </w:r>
      <w:r>
        <w:t xml:space="preserve">(from ~</w:t>
      </w:r>
      <m:oMath>
        <m:r>
          <m:t>365</m:t>
        </m:r>
        <m:r>
          <m:t>t</m:t>
        </m:r>
        <m:r>
          <m:t>o</m:t>
        </m:r>
        <m:r>
          <m:t> </m:t>
        </m:r>
      </m:oMath>
      <w:r>
        <w:t xml:space="preserve">330), which moved in lockstep with peer Synopsys (SNPS) and the broader semiconductor complex — suggesting a sector-wide de-rating/multiple compression rather than a CDNS-specific event.</w:t>
      </w:r>
    </w:p>
    <w:p>
      <w:pPr>
        <w:pStyle w:val="FirstParagraph"/>
      </w:pPr>
      <w:r>
        <w:t xml:space="preserve">The combination of decelerating stock performance into a still-premium multiple means expectations management on the call is critical: a clean beat may not be enough if the second-half outlook isn't lifted.</w:t>
      </w:r>
    </w:p>
    <w:p>
      <w:pPr>
        <w:pStyle w:val="BodyText"/>
      </w:pPr>
      <w:r>
        <w:rPr>
          <w:b/>
          <w:bCs/>
        </w:rPr>
        <w:t xml:space="preserve">Sentiment flags to note:</w:t>
      </w:r>
      <w:r>
        <w:t xml:space="preserve"> </w:t>
      </w:r>
      <w:r>
        <w:t xml:space="preserve">Two Senior VPs sold stock in July under planned (10b5-1) programs — Sr. VP Paul Cunningham sold $766,720 (2% of holdings) on July 15, and Sr. VP Chin-Chi Teng sold $1,510,627 (3% of holdings) on July 22. These are routine planned sales, not necessarily a signal, but worth flagging given the timing right before earnings.</w:t>
      </w:r>
    </w:p>
    <w:bookmarkEnd w:id="13"/>
    <w:bookmarkStart w:id="14" w:name="bottom-line"/>
    <w:p>
      <w:pPr>
        <w:pStyle w:val="Heading2"/>
      </w:pPr>
      <w:r>
        <w:t xml:space="preserve">Bottom line</w:t>
      </w:r>
    </w:p>
    <w:p>
      <w:pPr>
        <w:pStyle w:val="FirstParagraph"/>
      </w:pPr>
      <w:r>
        <w:t xml:space="preserve">The fundamental thesis is intact and arguably strengthening: record backlog, ~17% FY growth, a "Rule of 60" milestone in sight, broad-based demand across EDA/IP/hardware/SD&amp;A, and a credible multi-year agentic-AI TAM story. The near-term debate is entirely about (a) whether management raises the full year again after holding H2 flat, and (b) whether a beat can arrest the recent ~22% de-rating. Focus on backlog/bookings, the size and quality of any FY raise (organic vs. Hexagon), agentic-AI monetization proof points, and China/export-control commentary. Given the compressed sentiment, the risk/reward hinges more on the</w:t>
      </w:r>
      <w:r>
        <w:t xml:space="preserve"> </w:t>
      </w:r>
      <w:r>
        <w:rPr>
          <w:i/>
          <w:iCs/>
        </w:rPr>
        <w:t xml:space="preserve">guide and tone</w:t>
      </w:r>
      <w:r>
        <w:t xml:space="preserve"> </w:t>
      </w:r>
      <w:r>
        <w:t xml:space="preserve">than on the Q2 numbers themselves.</w:t>
      </w:r>
    </w:p>
    <w:p>
      <w:pPr>
        <w:pStyle w:val="BodyText"/>
      </w:pPr>
      <w:r>
        <w:rPr>
          <w:i/>
          <w:iCs/>
        </w:rPr>
        <w:t xml:space="preserve">Non-GAAP figures as reported by the company; GAAP results differ materially. This preview is for informational purposes and is not investment advice.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2026-07-27T00:07:28Z</dcterms:created>
  <dcterms:modified xsi:type="dcterms:W3CDTF">2026-07-27T00:07:28Z</dcterms:modified>
</cp:coreProperties>
</file>

<file path=docProps/custom.xml><?xml version="1.0" encoding="utf-8"?>
<Properties xmlns="http://schemas.openxmlformats.org/officeDocument/2006/custom-properties" xmlns:vt="http://schemas.openxmlformats.org/officeDocument/2006/docPropsVTypes"/>
</file>