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ns-earnings-predictions--2026-07-27"/>
    <w:p>
      <w:pPr>
        <w:pStyle w:val="Heading1"/>
      </w:pPr>
      <w:r>
        <w:t xml:space="preserve">CDNS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~$1.605B vs. cons $1.58B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~$2.09 vs. cons $2.05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~45.3% vs. cons 45.0%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~$6.20B (raised midpoint) vs. cons $6.175B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~$7.95 vs. cons $7.90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~44.7% vs. cons 44.0%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(FADE)</w:t>
            </w:r>
          </w:p>
        </w:tc>
        <w:tc>
          <w:tcPr/>
          <w:p>
            <w:pPr>
              <w:pStyle w:val="Compact"/>
            </w:pPr>
            <w:r>
              <w:t xml:space="preserve">Even with a headline beat-and-raise, management's 'prudent' 2H framing means the implied Q3/Q4 run-rate is only modestly higher than pre-print estimates once the Q2 beat is backed out — mirroring the Q1 print where CDNS fell 3.3% the next day despite beating. With the stock still carrying a rich multiple and the sector under an AI-capex sentiment overhang (TSMC/hyperscaler capex ROI debate), any hint that full-year raise magnitude is smaller than the quarterly beat, or that 2H bookings/Hexagon dilution commentary is unchanged, invites analysts to trim out-year numbers over the following days rather than chase the print, producing an initial dip that extends into a fade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2026-07-27T00:11:52Z</dcterms:created>
  <dcterms:modified xsi:type="dcterms:W3CDTF">2026-07-27T00:11:52Z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