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t xml:space="preserve">Now I have enough context. Let me get the current stock price relative to 52-week range and confirm the latest closing price.# Cadence Design Systems (CDNS) — Q2 2026 Earnings Preview</w:t>
      </w:r>
      <w:r>
        <w:t xml:space="preserve"> </w:t>
      </w:r>
      <w:r>
        <w:rPr>
          <w:b/>
          <w:bCs/>
        </w:rPr>
        <w:t xml:space="preserve">Report Date:</w:t>
      </w:r>
      <w:r>
        <w:t xml:space="preserve"> </w:t>
      </w:r>
      <w:r>
        <w:t xml:space="preserve">Monday, July 27, 2026 (after market close) |</w:t>
      </w:r>
      <w:r>
        <w:t xml:space="preserve"> </w:t>
      </w:r>
      <w:r>
        <w:rPr>
          <w:b/>
          <w:bCs/>
        </w:rPr>
        <w:t xml:space="preserve">Call:</w:t>
      </w:r>
      <w:r>
        <w:t xml:space="preserve"> </w:t>
      </w:r>
      <w:r>
        <w:t xml:space="preserve">5:00 PM ET</w:t>
      </w:r>
    </w:p>
    <w:p>
      <w:r>
        <w:pict>
          <v:rect style="width:0;height:1.5pt" o:hralign="center" o:hrstd="t" o:hr="t"/>
        </w:pict>
      </w:r>
    </w:p>
    <w:bookmarkStart w:id="9" w:name="setup-into-the-print"/>
    <w:p>
      <w:pPr>
        <w:pStyle w:val="Heading2"/>
      </w:pPr>
      <w:r>
        <w:t xml:space="preserve">Setup Into the Print</w:t>
      </w:r>
    </w:p>
    <w:p>
      <w:pPr>
        <w:pStyle w:val="FirstParagraph"/>
      </w:pPr>
      <w:r>
        <w:t xml:space="preserve">Cadence heads into its second-quarter report on the back of one of the strongest starts to a year in company history, but also into a stock that has cooled considerably from its 2026 highs. Shares are trading around $326, down roughly 22% from the June peak near $416, as a broad AI-infrastructure/semiconductor-capex sentiment wobble (triggered by TSMC's capex guide reaction, a China AI-model scare from Moonshot's Kimi K3, and weak prints from names like Netflix and IBM) has pressured high-multiple AI-adjacent software and hardware names across the board. That selloff appears macro/sector-driven rather than CDNS-specific — there has been no negative company news — which sets up the print as a key test of whether fundamentals can re-anchor the stock.</w:t>
      </w:r>
    </w:p>
    <w:p>
      <w:pPr>
        <w:pStyle w:val="BodyText"/>
      </w:pPr>
      <w:r>
        <w:t xml:space="preserve">Options for context: analysts remain broadly bullish. Out of 22 analysts covering the stock, 17 advise a "Strong Buy" rating, one recommends a "Moderate Buy," and four suggest a "Hold." Recent price-target moves have generally been upward — Stifel to $432, Berenberg to $440, Wells Fargo to $425 — even as the stock has pulled back into the print.</w:t>
      </w:r>
    </w:p>
    <w:bookmarkEnd w:id="9"/>
    <w:bookmarkStart w:id="10" w:name="what-to-expect-consensus"/>
    <w:p>
      <w:pPr>
        <w:pStyle w:val="Heading2"/>
      </w:pPr>
      <w:r>
        <w:t xml:space="preserve">What to Expect: Consensus</w:t>
      </w:r>
    </w:p>
    <w:p>
      <w:pPr>
        <w:pStyle w:val="Compact"/>
        <w:numPr>
          <w:ilvl w:val="0"/>
          <w:numId w:val="1001"/>
        </w:numPr>
      </w:pPr>
      <w:r>
        <w:rPr>
          <w:b/>
          <w:bCs/>
        </w:rPr>
        <w:t xml:space="preserve">Revenue:</w:t>
      </w:r>
      <w:r>
        <w:t xml:space="preserve"> </w:t>
      </w:r>
      <w:r>
        <w:t xml:space="preserve">Guidance range of</w:t>
      </w:r>
      <w:r>
        <w:t xml:space="preserve"> </w:t>
      </w:r>
      <m:oMath>
        <m:r>
          <m:t>1.555</m:t>
        </m:r>
        <m:r>
          <m:t>B</m:t>
        </m:r>
        <m:r>
          <m:rPr>
            <m:sty m:val="p"/>
          </m:rPr>
          <m:t>–</m:t>
        </m:r>
      </m:oMath>
      <w:r>
        <w:t xml:space="preserve">1.595B; Street consensus sits at roughly $1.58B, which would represent about 24% year-over-year growth.</w:t>
      </w:r>
    </w:p>
    <w:p>
      <w:pPr>
        <w:pStyle w:val="Compact"/>
        <w:numPr>
          <w:ilvl w:val="0"/>
          <w:numId w:val="1001"/>
        </w:numPr>
      </w:pPr>
      <w:r>
        <w:rPr>
          <w:b/>
          <w:bCs/>
        </w:rPr>
        <w:t xml:space="preserve">Non-GAAP EPS:</w:t>
      </w:r>
      <w:r>
        <w:t xml:space="preserve"> </w:t>
      </w:r>
      <w:r>
        <w:t xml:space="preserve">Guidance range of</w:t>
      </w:r>
      <w:r>
        <w:t xml:space="preserve"> </w:t>
      </w:r>
      <m:oMath>
        <m:r>
          <m:t>2.02</m:t>
        </m:r>
        <m:r>
          <m:rPr>
            <m:sty m:val="p"/>
          </m:rPr>
          <m:t>–</m:t>
        </m:r>
      </m:oMath>
      <w:r>
        <w:t xml:space="preserve">2.08; analysts expect Cadence to announce earnings of $2.05 per share and revenue of $1.5769 billion for the quarter, implying roughly 24% EPS growth year-over-year.</w:t>
      </w:r>
    </w:p>
    <w:p>
      <w:pPr>
        <w:pStyle w:val="Compact"/>
        <w:numPr>
          <w:ilvl w:val="0"/>
          <w:numId w:val="1001"/>
        </w:numPr>
      </w:pPr>
      <w:r>
        <w:rPr>
          <w:b/>
          <w:bCs/>
        </w:rPr>
        <w:t xml:space="preserve">Non-GAAP operating margin:</w:t>
      </w:r>
      <w:r>
        <w:t xml:space="preserve"> </w:t>
      </w:r>
      <w:r>
        <w:t xml:space="preserve">Guided to 44.5%–45.5%.</w:t>
      </w:r>
    </w:p>
    <w:p>
      <w:pPr>
        <w:pStyle w:val="Compact"/>
        <w:numPr>
          <w:ilvl w:val="0"/>
          <w:numId w:val="1001"/>
        </w:numPr>
      </w:pPr>
      <w:r>
        <w:rPr>
          <w:b/>
          <w:bCs/>
        </w:rPr>
        <w:t xml:space="preserve">Track record:</w:t>
      </w:r>
      <w:r>
        <w:t xml:space="preserve"> </w:t>
      </w:r>
      <w:r>
        <w:t xml:space="preserve">Cadence's earnings beat the Zacks Consensus Estimate in each of the trailing four quarters, with an average surprise of 5.48%, and last quarter the software maker reported $1.96 EPS for the quarter, topping analysts' consensus estimates of $1.91 by $0.05, with revenue of $1.47 billion for the quarter, compared to analyst estimates of $1.46 billion.</w:t>
      </w:r>
    </w:p>
    <w:bookmarkEnd w:id="10"/>
    <w:bookmarkStart w:id="11" w:name="q1-2026-recap--why-expectations-are-high"/>
    <w:p>
      <w:pPr>
        <w:pStyle w:val="Heading2"/>
      </w:pPr>
      <w:r>
        <w:t xml:space="preserve">Q1 2026 Recap — Why Expectations Are High</w:t>
      </w:r>
    </w:p>
    <w:p>
      <w:pPr>
        <w:pStyle w:val="FirstParagraph"/>
      </w:pPr>
      <w:r>
        <w:t xml:space="preserve">Cadence's first quarter was a clear beat-and-raise, and management framed it as one of the strongest starts to a year in the company's history. Total Q1 revenue was $1.474 billion (up 19% y/y), non-GAAP operating margin was 44.7%, and non-GAAP EPS was $1.96, all ahead of plan. Backlog hit a record $8.0 billion, and remaining performance obligations expected to be recognized over the next 12 months stood at $4.0 billion — both signals of forward visibility. Segment growth was broad-based: Core EDA revenue grew 18% y/y, IP grew 22% y/y, System Design and Analysis (SD&amp;A) grew 18% y/y, and hardware delivered its best quarter ever, led by AI/HPC demand plus growing automotive and robotics adoption.</w:t>
      </w:r>
    </w:p>
    <w:p>
      <w:pPr>
        <w:pStyle w:val="BodyText"/>
      </w:pPr>
      <w:r>
        <w:t xml:space="preserve">Off that strength, management raised full-year 2026 revenue growth guidance to ~17% y/y and reiterated a target to achieve the "Rule of 60" (revenue growth + margin) for the first time. Full-year guidance now stands at revenue of</w:t>
      </w:r>
      <w:r>
        <w:t xml:space="preserve"> </w:t>
      </w:r>
      <m:oMath>
        <m:r>
          <m:t>6.125</m:t>
        </m:r>
        <m:r>
          <m:t>B</m:t>
        </m:r>
        <m:r>
          <m:rPr>
            <m:sty m:val="p"/>
          </m:rPr>
          <m:t>–</m:t>
        </m:r>
      </m:oMath>
      <w:r>
        <w:t xml:space="preserve">6.225B, non-GAAP operating margin of 43.5%–44.5%, and non-GAAP EPS of</w:t>
      </w:r>
      <w:r>
        <w:t xml:space="preserve"> </w:t>
      </w:r>
      <m:oMath>
        <m:r>
          <m:t>7.85</m:t>
        </m:r>
        <m:r>
          <m:rPr>
            <m:sty m:val="p"/>
          </m:rPr>
          <m:t>–</m:t>
        </m:r>
      </m:oMath>
      <w:r>
        <w:t xml:space="preserve">7.95.</w:t>
      </w:r>
    </w:p>
    <w:bookmarkEnd w:id="11"/>
    <w:bookmarkStart w:id="12" w:name="key-themes-to-watch-on-the-call"/>
    <w:p>
      <w:pPr>
        <w:pStyle w:val="Heading2"/>
      </w:pPr>
      <w:r>
        <w:t xml:space="preserve">Key Themes to Watch on the Call</w:t>
      </w:r>
    </w:p>
    <w:p>
      <w:pPr>
        <w:pStyle w:val="FirstParagraph"/>
      </w:pPr>
      <w:r>
        <w:rPr>
          <w:b/>
          <w:bCs/>
        </w:rPr>
        <w:t xml:space="preserve">1. Agentic AI monetization — still early, but the story management is selling.</w:t>
      </w:r>
      <w:r>
        <w:t xml:space="preserve"> </w:t>
      </w:r>
      <w:r>
        <w:t xml:space="preserve">Cadence has rapidly rolled out a suite of "Super Agents" — ChipStack (RTL design/verification), ViraStack (analog/custom design), InnoStack (digital implementation/signoff) — unified under a new AgentStack orchestration framework, alongside a Google Gemini/GCP collaboration and expanded NVIDIA physical-AI partnership. Management's pitch is a "3-layer cake" (compute/data, simulation/optimization, agentic AI on top) where agentic tools both create new subscription-plus-consumption revenue categories and drive higher usage of core base tools. Management has explicitly said it is not assuming a step-function in AI monetization in the 2026 guide, so any incremental color on pricing, deal structures, or evaluation-to-conversion progress for ChipStack/ViraStack/InnoStack will be closely watched. Recall management noted that EDA spend has risen from roughly 7% to 11% of customer R&amp;D budgets, with further upside seen as automation scales.</w:t>
      </w:r>
    </w:p>
    <w:p>
      <w:pPr>
        <w:pStyle w:val="BodyText"/>
      </w:pPr>
      <w:r>
        <w:rPr>
          <w:b/>
          <w:bCs/>
        </w:rPr>
        <w:t xml:space="preserve">2. Hexagon D&amp;E integration — near-term dilution, longer-term accretion.</w:t>
      </w:r>
      <w:r>
        <w:t xml:space="preserve"> </w:t>
      </w:r>
      <w:r>
        <w:t xml:space="preserve">The closed Hexagon design-and-engineering acquisition is expected to contribute about $160 million of 2026 revenue but is dilutive by roughly $0.28 to full-year EPS (versus the prior guide), driven by financing costs on the cash portion of the deal and integration costs; management has guided to accretion starting in 2027, drawing a parallel to the margin trajectory seen with the earlier Beta CAE acquisition. Watch for updated commentary on integration progress, cross-sell into 3D-IC/physical AI, and whether the "second-half is more back-half weighted toward core, less toward Hexagon" seasonality plays out as flagged (Hexagon's legacy business skews toward H1).</w:t>
      </w:r>
    </w:p>
    <w:p>
      <w:pPr>
        <w:pStyle w:val="BodyText"/>
      </w:pPr>
      <w:r>
        <w:rPr>
          <w:b/>
          <w:bCs/>
        </w:rPr>
        <w:t xml:space="preserve">3. Second-half "prudence" in the guide.</w:t>
      </w:r>
      <w:r>
        <w:t xml:space="preserve"> </w:t>
      </w:r>
      <w:r>
        <w:t xml:space="preserve">On the Q1 call, CFO John Wall was explicit that the implied 2H26 quarterly run-rate is roughly flat to slightly below Q2 levels, largely reflecting conservatism rather than a deceleration in underlying demand — with Q1 bookings strength and cash flow upside (~$100M above original guide on an adjusted basis) suggesting room for further raises later in the year. Investors will want to see whether Q2 results and any second-half update validate that conservatism thesis.</w:t>
      </w:r>
    </w:p>
    <w:p>
      <w:pPr>
        <w:pStyle w:val="BodyText"/>
      </w:pPr>
      <w:r>
        <w:rPr>
          <w:b/>
          <w:bCs/>
        </w:rPr>
        <w:t xml:space="preserve">4. IP business — third consecutive year of strong growth.</w:t>
      </w:r>
      <w:r>
        <w:t xml:space="preserve"> </w:t>
      </w:r>
      <w:r>
        <w:t xml:space="preserve">IP grew 22% y/y in Q1, driven by HBM, LPDDR, PCIe, SerDes and foundation IP demand, competitive PPA wins, and a record deal with a leading global foundry (2nm-related, not Intel). Continued momentum here — plus updates on Intel 18A/14A engagement — will be a focus.</w:t>
      </w:r>
    </w:p>
    <w:p>
      <w:pPr>
        <w:pStyle w:val="BodyText"/>
      </w:pPr>
      <w:r>
        <w:rPr>
          <w:b/>
          <w:bCs/>
        </w:rPr>
        <w:t xml:space="preserve">5. Hardware cycle.</w:t>
      </w:r>
      <w:r>
        <w:t xml:space="preserve"> </w:t>
      </w:r>
      <w:r>
        <w:t xml:space="preserve">Palladium Z3 posted a record quarter on AI/HPC, automotive and robotics demand; investors will watch backlog/lead times and any commentary on the timing of next-gen Z4/X4 systems.</w:t>
      </w:r>
    </w:p>
    <w:p>
      <w:pPr>
        <w:pStyle w:val="BodyText"/>
      </w:pPr>
      <w:r>
        <w:rPr>
          <w:b/>
          <w:bCs/>
        </w:rPr>
        <w:t xml:space="preserve">6. China and export-control compliance.</w:t>
      </w:r>
      <w:r>
        <w:t xml:space="preserve"> </w:t>
      </w:r>
      <w:r>
        <w:t xml:space="preserve">China represented 13% of Q1 revenue, consistent with expectations, and management guided to roughly 13% of revenue for the full year, while flagging inherent quarter-to-quarter lumpiness. Compliance overhang remains relevant: Cadence reached a settlement with each of BIS and the U.S. Department of Justice in July 2025 that resolved matters relating to export control violations that occurred between 2015 and 2021, primarily involving sales to a customer in China, and the company agreed to pay criminal penalties totaling nearly $118 million and civil penalties of $95 million (net fines of roughly $140.6 million). Guidance continues to assume export-control regulations remain substantially similar for the remainder of the year — any change in that landscape is a swing factor.</w:t>
      </w:r>
    </w:p>
    <w:p>
      <w:pPr>
        <w:pStyle w:val="BodyText"/>
      </w:pPr>
      <w:r>
        <w:rPr>
          <w:b/>
          <w:bCs/>
        </w:rPr>
        <w:t xml:space="preserve">7. Renewal cycle dynamics.</w:t>
      </w:r>
      <w:r>
        <w:t xml:space="preserve"> </w:t>
      </w:r>
      <w:r>
        <w:t xml:space="preserve">Management flagged that 2026 is a lighter contract-renewal year on an annual-value basis (similar to 2022), yet historically those have been some of the strongest bookings years due to elevated add-on activity — Q1 bookings strength across all business lines supports that pattern continuing.</w:t>
      </w:r>
    </w:p>
    <w:p>
      <w:pPr>
        <w:pStyle w:val="BodyText"/>
      </w:pPr>
      <w:r>
        <w:rPr>
          <w:b/>
          <w:bCs/>
        </w:rPr>
        <w:t xml:space="preserve">8. Capital allocation.</w:t>
      </w:r>
      <w:r>
        <w:t xml:space="preserve"> </w:t>
      </w:r>
      <w:r>
        <w:t xml:space="preserve">Cadence used $200 million to repurchase shares in Q1 and guided to using approximately 50% of free cash flow for buybacks in 2026, alongside continued M&amp;A optionality following Hexagon.</w:t>
      </w:r>
    </w:p>
    <w:bookmarkEnd w:id="12"/>
    <w:bookmarkStart w:id="13" w:name="stock-setup-and-sentiment"/>
    <w:p>
      <w:pPr>
        <w:pStyle w:val="Heading2"/>
      </w:pPr>
      <w:r>
        <w:t xml:space="preserve">Stock Setup and Sentiment</w:t>
      </w:r>
    </w:p>
    <w:p>
      <w:pPr>
        <w:pStyle w:val="FirstParagraph"/>
      </w:pPr>
      <w:r>
        <w:t xml:space="preserve">The pullback from ~</w:t>
      </w:r>
      <m:oMath>
        <m:r>
          <m:t>416</m:t>
        </m:r>
        <m:r>
          <m:rPr>
            <m:sty m:val="p"/>
          </m:rPr>
          <m:t>(</m:t>
        </m:r>
        <m:r>
          <m:t>e</m:t>
        </m:r>
        <m:r>
          <m:t>a</m:t>
        </m:r>
        <m:r>
          <m:t>r</m:t>
        </m:r>
        <m:r>
          <m:t>l</m:t>
        </m:r>
        <m:r>
          <m:t>y</m:t>
        </m:r>
        <m:r>
          <m:t>J</m:t>
        </m:r>
        <m:r>
          <m:t>u</m:t>
        </m:r>
        <m:r>
          <m:t>n</m:t>
        </m:r>
        <m:r>
          <m:t>e</m:t>
        </m:r>
        <m:r>
          <m:rPr>
            <m:sty m:val="p"/>
          </m:rPr>
          <m:t>)</m:t>
        </m:r>
        <m:r>
          <m:t>t</m:t>
        </m:r>
        <m:r>
          <m:t>o</m:t>
        </m:r>
        <m:r>
          <m:t>t</m:t>
        </m:r>
        <m:r>
          <m:t>h</m:t>
        </m:r>
        <m:r>
          <m:t>e</m:t>
        </m:r>
        <m:r>
          <m:t>m</m:t>
        </m:r>
        <m:r>
          <m:t>i</m:t>
        </m:r>
        <m:r>
          <m:t>d</m:t>
        </m:r>
        <m:r>
          <m:rPr>
            <m:sty m:val="p"/>
          </m:rPr>
          <m:t>−</m:t>
        </m:r>
      </m:oMath>
      <w:r>
        <w:t xml:space="preserve">320s heading into earnings reflects a broader de-rating in AI-capex-exposed names rather than a CDNS-specific concern — TSMC's capex guidance raise triggered questions about return on AI infrastructure spend, and a wave of chip-stock weakness (Micron, SK Hynix, TSMC itself) has weighed on sentiment across the semiconductor value chain, of which EDA is a derivative beneficiary. Notably, Cadence's own stock declined in the immediate aftermath of the Q1 earnings release, slumping 3.3% the following day despite beating estimates — a reminder that with the stock priced for continued acceleration, even solid beats may not be sufficient; the market will be parsing bookings trends, second-half guidance revisions, and any incremental detail on agentic AI monetization timing as the real swing factors.</w:t>
      </w:r>
    </w:p>
    <w:bookmarkEnd w:id="13"/>
    <w:bookmarkStart w:id="14" w:name="bottom-line"/>
    <w:p>
      <w:pPr>
        <w:pStyle w:val="Heading2"/>
      </w:pPr>
      <w:r>
        <w:t xml:space="preserve">Bottom Line</w:t>
      </w:r>
    </w:p>
    <w:p>
      <w:pPr>
        <w:pStyle w:val="FirstParagraph"/>
      </w:pPr>
      <w:r>
        <w:t xml:space="preserve">Cadence goes into Q2 with a high bar: consensus calls for ~24% revenue and EPS growth, full-year guidance already raised once this year, a record $8 billion backlog, and management explicitly targeting a "Rule of 60" year. The bull case rests on continued broad-based strength across EDA, IP, hardware and SD&amp;A, plus optionality from agentic AI (ChipStack/ViraStack/InnoStack/AgentStack) that management says isn't yet baked into guidance. The key risks/watch-items are: (1) whether second-half guidance gets raised or merely reiterated given the "prudence" management flagged, (2) Hexagon integration/dilution trajectory, (3) any incremental read on agentic AI pricing/adoption, (4) China revenue trends amid ongoing export-control compliance obligations, and (5) whether the recent AI-capex-driven sector selloff continues to compress the multiple even if fundamentals stay strong.</w:t>
      </w:r>
    </w:p>
    <w:bookmarkEnd w:id="14"/>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2026-07-27T00:11:52Z</dcterms:created>
  <dcterms:modified xsi:type="dcterms:W3CDTF">2026-07-27T00:11:52Z</dcterms:modified>
</cp:coreProperties>
</file>

<file path=docProps/custom.xml><?xml version="1.0" encoding="utf-8"?>
<Properties xmlns="http://schemas.openxmlformats.org/officeDocument/2006/custom-properties" xmlns:vt="http://schemas.openxmlformats.org/officeDocument/2006/docPropsVTypes"/>
</file>