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~$1.605B vs. cons $1.580B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$2.05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~45.3% vs. cons 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~$1.58B vs. cons $1.55B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~$1.96 vs. cons $1.92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~$6.25B vs. cons $6.20B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~$8.02 vs. cons $7.94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+6.2% (FOLLOW-THROUGH)</w:t>
            </w:r>
          </w:p>
        </w:tc>
        <w:tc>
          <w:tcPr/>
          <w:p>
            <w:pPr>
              <w:pStyle w:val="Compact"/>
            </w:pPr>
            <w:r>
              <w:t xml:space="preserve">The projected FY guide implies ~</w:t>
            </w:r>
            <m:oMath>
              <m:r>
                <m:t>3.17</m:t>
              </m:r>
              <m:r>
                <m:t>B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3.15B, while second-half EPS rises to ~</w:t>
            </w:r>
            <m:oMath>
              <m:r>
                <m:t>3.96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3.93; modest positive out-period revisions should extend rather than reverse the initial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2026-07-27T00:09:01Z</dcterms:created>
  <dcterms:modified xsi:type="dcterms:W3CDTF">2026-07-27T00:09:01Z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