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cdns-q2-2026-earnings-preview"/>
    <w:p>
      <w:pPr>
        <w:pStyle w:val="Heading1"/>
      </w:pPr>
      <w:r>
        <w:t xml:space="preserve">CDNS Q2 2026 Earnings Preview</w:t>
      </w:r>
    </w:p>
    <w:p>
      <w:pPr>
        <w:pStyle w:val="FirstParagraph"/>
      </w:pPr>
      <w:r>
        <w:rPr>
          <w:b/>
          <w:bCs/>
        </w:rPr>
        <w:t xml:space="preserve">Report:</w:t>
      </w:r>
      <w:r>
        <w:t xml:space="preserve"> </w:t>
      </w:r>
      <w:r>
        <w:t xml:space="preserve">Monday, July 27, 2026, after market close</w:t>
      </w:r>
      <w:r>
        <w:br/>
      </w:r>
      <w:r>
        <w:rPr>
          <w:b/>
          <w:bCs/>
        </w:rPr>
        <w:t xml:space="preserve">Conference call:</w:t>
      </w:r>
      <w:r>
        <w:t xml:space="preserve"> </w:t>
      </w:r>
      <w:r>
        <w:t xml:space="preserve">5:00 p.m. ET</w:t>
      </w:r>
    </w:p>
    <w:bookmarkStart w:id="9" w:name="bottom-line"/>
    <w:p>
      <w:pPr>
        <w:pStyle w:val="Heading2"/>
      </w:pPr>
      <w:r>
        <w:t xml:space="preserve">Bottom line</w:t>
      </w:r>
    </w:p>
    <w:p>
      <w:pPr>
        <w:pStyle w:val="FirstParagraph"/>
      </w:pPr>
      <w:r>
        <w:t xml:space="preserve">Cadence enters the quarter with strong operating momentum but a fairly demanding setup. The Q2 consensus sits almost exactly at the midpoint of management’s guidance, so merely meeting expectations is unlikely to be enough. The more important catalysts will be:</w:t>
      </w:r>
    </w:p>
    <w:p>
      <w:pPr>
        <w:pStyle w:val="Compact"/>
        <w:numPr>
          <w:ilvl w:val="0"/>
          <w:numId w:val="1001"/>
        </w:numPr>
      </w:pPr>
      <w:r>
        <w:rPr>
          <w:b/>
          <w:bCs/>
        </w:rPr>
        <w:t xml:space="preserve">The size and quality of any full-year guidance increase</w:t>
      </w:r>
    </w:p>
    <w:p>
      <w:pPr>
        <w:pStyle w:val="Compact"/>
        <w:numPr>
          <w:ilvl w:val="0"/>
          <w:numId w:val="1001"/>
        </w:numPr>
      </w:pPr>
      <w:r>
        <w:rPr>
          <w:b/>
          <w:bCs/>
        </w:rPr>
        <w:t xml:space="preserve">Bookings and backlog growth</w:t>
      </w:r>
    </w:p>
    <w:p>
      <w:pPr>
        <w:pStyle w:val="Compact"/>
        <w:numPr>
          <w:ilvl w:val="0"/>
          <w:numId w:val="1001"/>
        </w:numPr>
      </w:pPr>
      <w:r>
        <w:rPr>
          <w:b/>
          <w:bCs/>
        </w:rPr>
        <w:t xml:space="preserve">Evidence that agentic AI is progressing from evaluations toward monetization</w:t>
      </w:r>
    </w:p>
    <w:p>
      <w:pPr>
        <w:pStyle w:val="Compact"/>
        <w:numPr>
          <w:ilvl w:val="0"/>
          <w:numId w:val="1001"/>
        </w:numPr>
      </w:pPr>
      <w:r>
        <w:rPr>
          <w:b/>
          <w:bCs/>
        </w:rPr>
        <w:t xml:space="preserve">Organic growth excluding the acquired Hexagon Design &amp; Engineering business</w:t>
      </w:r>
    </w:p>
    <w:p>
      <w:pPr>
        <w:pStyle w:val="Compact"/>
        <w:numPr>
          <w:ilvl w:val="0"/>
          <w:numId w:val="1001"/>
        </w:numPr>
      </w:pPr>
      <w:r>
        <w:rPr>
          <w:b/>
          <w:bCs/>
        </w:rPr>
        <w:t xml:space="preserve">The outlook for hardware, IP and margins in the second half</w:t>
      </w:r>
    </w:p>
    <w:p>
      <w:pPr>
        <w:pStyle w:val="FirstParagraph"/>
      </w:pPr>
      <w:r>
        <w:t xml:space="preserve">The stock has corrected sharply from its early-June high, reducing expectations somewhat, but CDNS still trades at roughly</w:t>
      </w:r>
      <w:r>
        <w:t xml:space="preserve"> </w:t>
      </w:r>
      <w:r>
        <w:rPr>
          <w:b/>
          <w:bCs/>
        </w:rPr>
        <w:t xml:space="preserve">41x the midpoint of 2026 non-GAAP EPS guidance</w:t>
      </w:r>
      <w:r>
        <w:t xml:space="preserve">. That valuation leaves limited room for a quarter that is simply in line.</w:t>
      </w:r>
    </w:p>
    <w:bookmarkEnd w:id="9"/>
    <w:bookmarkStart w:id="12" w:name="what-the-market-expects"/>
    <w:p>
      <w:pPr>
        <w:pStyle w:val="Heading2"/>
      </w:pPr>
      <w:r>
        <w:t xml:space="preserve">What the market expects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Q2 2026 metric</w:t>
            </w:r>
          </w:p>
        </w:tc>
        <w:tc>
          <w:tcPr/>
          <w:p>
            <w:pPr>
              <w:pStyle w:val="Compact"/>
              <w:jc w:val="right"/>
            </w:pPr>
            <w:r>
              <w:t xml:space="preserve">Consensus</w:t>
            </w:r>
          </w:p>
        </w:tc>
        <w:tc>
          <w:tcPr/>
          <w:p>
            <w:pPr>
              <w:pStyle w:val="Compact"/>
              <w:jc w:val="right"/>
            </w:pPr>
            <w:r>
              <w:t xml:space="preserve">Cadence guidance</w:t>
            </w:r>
          </w:p>
        </w:tc>
        <w:tc>
          <w:tcPr/>
          <w:p>
            <w:pPr>
              <w:pStyle w:val="Compact"/>
              <w:jc w:val="right"/>
            </w:pPr>
            <w:r>
              <w:t xml:space="preserve">Q2 2025</w:t>
            </w:r>
          </w:p>
        </w:tc>
      </w:tr>
      <w:tr>
        <w:tc>
          <w:tcPr/>
          <w:p>
            <w:pPr>
              <w:pStyle w:val="Compact"/>
            </w:pPr>
            <w:r>
              <w:t xml:space="preserve">Revenue</w:t>
            </w:r>
          </w:p>
        </w:tc>
        <w:tc>
          <w:tcPr/>
          <w:p>
            <w:pPr>
              <w:pStyle w:val="Compact"/>
              <w:jc w:val="right"/>
            </w:pPr>
            <w:r>
              <w:rPr>
                <w:b/>
                <w:bCs/>
              </w:rPr>
              <w:t xml:space="preserve">~$1.58B</w:t>
            </w:r>
          </w:p>
        </w:tc>
        <w:tc>
          <w:tcPr/>
          <w:p>
            <w:pPr>
              <w:pStyle w:val="Compact"/>
              <w:jc w:val="right"/>
            </w:pPr>
            <m:oMath>
              <m:r>
                <m:t>1.555</m:t>
              </m:r>
              <m:r>
                <m:t>B</m:t>
              </m:r>
              <m:r>
                <m:rPr>
                  <m:sty m:val="p"/>
                </m:rPr>
                <m:t>–</m:t>
              </m:r>
            </m:oMath>
            <w:r>
              <w:t xml:space="preserve">1.595B</w:t>
            </w:r>
          </w:p>
        </w:tc>
        <w:tc>
          <w:tcPr/>
          <w:p>
            <w:pPr>
              <w:pStyle w:val="Compact"/>
              <w:jc w:val="right"/>
            </w:pPr>
            <w:r>
              <w:t xml:space="preserve">$1.275B</w:t>
            </w:r>
          </w:p>
        </w:tc>
      </w:tr>
      <w:tr>
        <w:tc>
          <w:tcPr/>
          <w:p>
            <w:pPr>
              <w:pStyle w:val="Compact"/>
            </w:pPr>
            <w:r>
              <w:t xml:space="preserve">Non-GAAP EPS</w:t>
            </w:r>
          </w:p>
        </w:tc>
        <w:tc>
          <w:tcPr/>
          <w:p>
            <w:pPr>
              <w:pStyle w:val="Compact"/>
              <w:jc w:val="right"/>
            </w:pPr>
            <w:r>
              <w:rPr>
                <w:b/>
                <w:bCs/>
              </w:rPr>
              <w:t xml:space="preserve">~$2.05</w:t>
            </w:r>
          </w:p>
        </w:tc>
        <w:tc>
          <w:tcPr/>
          <w:p>
            <w:pPr>
              <w:pStyle w:val="Compact"/>
              <w:jc w:val="right"/>
            </w:pPr>
            <m:oMath>
              <m:r>
                <m:t>2.02</m:t>
              </m:r>
              <m:r>
                <m:rPr>
                  <m:sty m:val="p"/>
                </m:rPr>
                <m:t>–</m:t>
              </m:r>
            </m:oMath>
            <w:r>
              <w:t xml:space="preserve">2.08</w:t>
            </w:r>
          </w:p>
        </w:tc>
        <w:tc>
          <w:tcPr/>
          <w:p>
            <w:pPr>
              <w:pStyle w:val="Compact"/>
              <w:jc w:val="right"/>
            </w:pPr>
            <w:r>
              <w:t xml:space="preserve">$1.65</w:t>
            </w:r>
          </w:p>
        </w:tc>
      </w:tr>
      <w:tr>
        <w:tc>
          <w:tcPr/>
          <w:p>
            <w:pPr>
              <w:pStyle w:val="Compact"/>
            </w:pPr>
            <w:r>
              <w:t xml:space="preserve">Non-GAAP operating margin</w:t>
            </w:r>
          </w:p>
        </w:tc>
        <w:tc>
          <w:tcPr/>
          <w:p>
            <w:pPr>
              <w:pStyle w:val="Compact"/>
              <w:jc w:val="right"/>
            </w:pPr>
            <w:r>
              <w:t xml:space="preserve">—</w:t>
            </w:r>
          </w:p>
        </w:tc>
        <w:tc>
          <w:tcPr/>
          <w:p>
            <w:pPr>
              <w:pStyle w:val="Compact"/>
              <w:jc w:val="right"/>
            </w:pPr>
            <w:r>
              <w:t xml:space="preserve">44.5%–45.5%</w:t>
            </w:r>
          </w:p>
        </w:tc>
        <w:tc>
          <w:tcPr/>
          <w:p>
            <w:pPr>
              <w:pStyle w:val="Compact"/>
              <w:jc w:val="right"/>
            </w:pPr>
            <w:r>
              <w:t xml:space="preserve">42.8%</w:t>
            </w:r>
          </w:p>
        </w:tc>
      </w:tr>
      <w:tr>
        <w:tc>
          <w:tcPr/>
          <w:p>
            <w:pPr>
              <w:pStyle w:val="Compact"/>
            </w:pPr>
            <w:r>
              <w:t xml:space="preserve">GAAP EPS</w:t>
            </w:r>
          </w:p>
        </w:tc>
        <w:tc>
          <w:tcPr/>
          <w:p>
            <w:pPr>
              <w:pStyle w:val="Compact"/>
              <w:jc w:val="right"/>
            </w:pPr>
            <w:r>
              <w:t xml:space="preserve">—</w:t>
            </w:r>
          </w:p>
        </w:tc>
        <w:tc>
          <w:tcPr/>
          <w:p>
            <w:pPr>
              <w:pStyle w:val="Compact"/>
              <w:jc w:val="right"/>
            </w:pPr>
            <m:oMath>
              <m:r>
                <m:t>1.07</m:t>
              </m:r>
              <m:r>
                <m:rPr>
                  <m:sty m:val="p"/>
                </m:rPr>
                <m:t>–</m:t>
              </m:r>
            </m:oMath>
            <w:r>
              <w:t xml:space="preserve">1.13</w:t>
            </w:r>
          </w:p>
        </w:tc>
        <w:tc>
          <w:tcPr/>
          <w:p>
            <w:pPr>
              <w:pStyle w:val="Compact"/>
              <w:jc w:val="right"/>
            </w:pPr>
            <w:r>
              <w:t xml:space="preserve">$0.59</w:t>
            </w:r>
          </w:p>
        </w:tc>
      </w:tr>
    </w:tbl>
    <w:p>
      <w:pPr>
        <w:pStyle w:val="BodyText"/>
      </w:pPr>
      <w:r>
        <w:t xml:space="preserve">Consensus implies approximately</w:t>
      </w:r>
      <w:r>
        <w:t xml:space="preserve"> </w:t>
      </w:r>
      <w:r>
        <w:rPr>
          <w:b/>
          <w:bCs/>
        </w:rPr>
        <w:t xml:space="preserve">24% year-over-year growth</w:t>
      </w:r>
      <w:r>
        <w:t xml:space="preserve"> </w:t>
      </w:r>
      <w:r>
        <w:t xml:space="preserve">in both revenue and non-GAAP EPS. (</w:t>
      </w:r>
      <w:hyperlink r:id="rId10">
        <w:r>
          <w:rPr>
            <w:rStyle w:val="Hyperlink"/>
          </w:rPr>
          <w:t xml:space="preserve">metatrader.com</w:t>
        </w:r>
      </w:hyperlink>
      <w:r>
        <w:t xml:space="preserve">)</w:t>
      </w:r>
    </w:p>
    <w:p>
      <w:pPr>
        <w:pStyle w:val="BodyText"/>
      </w:pPr>
      <w:r>
        <w:t xml:space="preserve">Cadence’s current full-year outlook is:</w:t>
      </w:r>
    </w:p>
    <w:p>
      <w:pPr>
        <w:pStyle w:val="Compact"/>
        <w:numPr>
          <w:ilvl w:val="0"/>
          <w:numId w:val="1002"/>
        </w:numPr>
      </w:pPr>
      <w:r>
        <w:rPr>
          <w:b/>
          <w:bCs/>
        </w:rPr>
        <w:t xml:space="preserve">Revenue:</w:t>
      </w:r>
      <w:r>
        <w:t xml:space="preserve"> </w:t>
      </w:r>
      <m:oMath>
        <m:r>
          <m:t>6.125</m:t>
        </m:r>
        <m:r>
          <m:t>B</m:t>
        </m:r>
        <m:r>
          <m:rPr>
            <m:sty m:val="p"/>
          </m:rPr>
          <m:t>–</m:t>
        </m:r>
      </m:oMath>
      <w:r>
        <w:t xml:space="preserve">6.225B</w:t>
      </w:r>
    </w:p>
    <w:p>
      <w:pPr>
        <w:pStyle w:val="Compact"/>
        <w:numPr>
          <w:ilvl w:val="0"/>
          <w:numId w:val="1002"/>
        </w:numPr>
      </w:pPr>
      <w:r>
        <w:rPr>
          <w:b/>
          <w:bCs/>
        </w:rPr>
        <w:t xml:space="preserve">Non-GAAP operating margin:</w:t>
      </w:r>
      <w:r>
        <w:t xml:space="preserve"> </w:t>
      </w:r>
      <w:r>
        <w:t xml:space="preserve">43.5%–44.5%</w:t>
      </w:r>
    </w:p>
    <w:p>
      <w:pPr>
        <w:pStyle w:val="Compact"/>
        <w:numPr>
          <w:ilvl w:val="0"/>
          <w:numId w:val="1002"/>
        </w:numPr>
      </w:pPr>
      <w:r>
        <w:rPr>
          <w:b/>
          <w:bCs/>
        </w:rPr>
        <w:t xml:space="preserve">Non-GAAP EPS:</w:t>
      </w:r>
      <w:r>
        <w:t xml:space="preserve"> </w:t>
      </w:r>
      <m:oMath>
        <m:r>
          <m:t>7.85</m:t>
        </m:r>
        <m:r>
          <m:rPr>
            <m:sty m:val="p"/>
          </m:rPr>
          <m:t>–</m:t>
        </m:r>
      </m:oMath>
      <w:r>
        <w:t xml:space="preserve">7.95</w:t>
      </w:r>
    </w:p>
    <w:p>
      <w:pPr>
        <w:pStyle w:val="Compact"/>
        <w:numPr>
          <w:ilvl w:val="0"/>
          <w:numId w:val="1002"/>
        </w:numPr>
      </w:pPr>
      <w:r>
        <w:rPr>
          <w:b/>
          <w:bCs/>
        </w:rPr>
        <w:t xml:space="preserve">Operating cash flow:</w:t>
      </w:r>
      <w:r>
        <w:t xml:space="preserve"> </w:t>
      </w:r>
      <m:oMath>
        <m:r>
          <m:t>1.875</m:t>
        </m:r>
        <m:r>
          <m:t>B</m:t>
        </m:r>
        <m:r>
          <m:rPr>
            <m:sty m:val="p"/>
          </m:rPr>
          <m:t>–</m:t>
        </m:r>
      </m:oMath>
      <w:r>
        <w:t xml:space="preserve">1.975B</w:t>
      </w:r>
    </w:p>
    <w:p>
      <w:pPr>
        <w:pStyle w:val="FirstParagraph"/>
      </w:pPr>
      <w:r>
        <w:t xml:space="preserve">The company raised its revenue outlook after Q1, targeting roughly 17% growth at the midpoint, while incorporating approximately $160 million of 2026 revenue from Hexagon D&amp;E. (</w:t>
      </w:r>
      <w:hyperlink r:id="rId11">
        <w:r>
          <w:rPr>
            <w:rStyle w:val="Hyperlink"/>
          </w:rPr>
          <w:t xml:space="preserve">sec.gov</w:t>
        </w:r>
      </w:hyperlink>
      <w:r>
        <w:t xml:space="preserve">)</w:t>
      </w:r>
    </w:p>
    <w:bookmarkEnd w:id="12"/>
    <w:bookmarkStart w:id="13" w:name="X466978cabebe8bf47f9a9b0dcc913f530b30e9a"/>
    <w:p>
      <w:pPr>
        <w:pStyle w:val="Heading2"/>
      </w:pPr>
      <w:r>
        <w:t xml:space="preserve">The central issue: how much of the second-half conservatism comes out?</w:t>
      </w:r>
    </w:p>
    <w:p>
      <w:pPr>
        <w:pStyle w:val="FirstParagraph"/>
      </w:pPr>
      <w:r>
        <w:t xml:space="preserve">At the midpoint, full-year guidance implies:</w:t>
      </w:r>
    </w:p>
    <w:p>
      <w:pPr>
        <w:pStyle w:val="Compact"/>
        <w:numPr>
          <w:ilvl w:val="0"/>
          <w:numId w:val="1003"/>
        </w:numPr>
      </w:pPr>
      <w:r>
        <w:t xml:space="preserve">Q1 revenue:</w:t>
      </w:r>
      <w:r>
        <w:t xml:space="preserve"> </w:t>
      </w:r>
      <w:r>
        <w:rPr>
          <w:b/>
          <w:bCs/>
        </w:rPr>
        <w:t xml:space="preserve">$1.474B</w:t>
      </w:r>
    </w:p>
    <w:p>
      <w:pPr>
        <w:pStyle w:val="Compact"/>
        <w:numPr>
          <w:ilvl w:val="0"/>
          <w:numId w:val="1003"/>
        </w:numPr>
      </w:pPr>
      <w:r>
        <w:t xml:space="preserve">Q2 guidance midpoint:</w:t>
      </w:r>
      <w:r>
        <w:t xml:space="preserve"> </w:t>
      </w:r>
      <w:r>
        <w:rPr>
          <w:b/>
          <w:bCs/>
        </w:rPr>
        <w:t xml:space="preserve">$1.575B</w:t>
      </w:r>
    </w:p>
    <w:p>
      <w:pPr>
        <w:pStyle w:val="Compact"/>
        <w:numPr>
          <w:ilvl w:val="0"/>
          <w:numId w:val="1003"/>
        </w:numPr>
      </w:pPr>
      <w:r>
        <w:t xml:space="preserve">Implied second-half revenue:</w:t>
      </w:r>
      <w:r>
        <w:t xml:space="preserve"> </w:t>
      </w:r>
      <w:r>
        <w:rPr>
          <w:b/>
          <w:bCs/>
        </w:rPr>
        <w:t xml:space="preserve">$3.126B</w:t>
      </w:r>
    </w:p>
    <w:p>
      <w:pPr>
        <w:pStyle w:val="Compact"/>
        <w:numPr>
          <w:ilvl w:val="0"/>
          <w:numId w:val="1003"/>
        </w:numPr>
      </w:pPr>
      <w:r>
        <w:t xml:space="preserve">Implied average Q3/Q4 revenue:</w:t>
      </w:r>
      <w:r>
        <w:t xml:space="preserve"> </w:t>
      </w:r>
      <w:r>
        <w:rPr>
          <w:b/>
          <w:bCs/>
        </w:rPr>
        <w:t xml:space="preserve">about $1.563B per quarter</w:t>
      </w:r>
    </w:p>
    <w:p>
      <w:pPr>
        <w:pStyle w:val="FirstParagraph"/>
      </w:pPr>
      <w:r>
        <w:t xml:space="preserve">In other words, the existing outlook assumes average second-half revenue slightly below the Q2 midpoint. Management explicitly characterized the second-half forecast as prudent after unusually strong Q1 bookings and said it wanted another quarter of evidence before updating the outlook.</w:t>
      </w:r>
    </w:p>
    <w:p>
      <w:pPr>
        <w:pStyle w:val="BodyText"/>
      </w:pPr>
      <w:r>
        <w:t xml:space="preserve">That makes the annual guide more important than the reported Q2 beat. Investors will likely expect at least a modest increase if Q2 lands near the top of the range and bookings remain healthy. A strong quarter paired with no raise could be interpreted as a warning about hardware timing, Hexagon seasonality or a more cautious demand environment.</w:t>
      </w:r>
    </w:p>
    <w:bookmarkEnd w:id="13"/>
    <w:bookmarkStart w:id="24" w:name="five-areas-to-watch"/>
    <w:p>
      <w:pPr>
        <w:pStyle w:val="Heading2"/>
      </w:pPr>
      <w:r>
        <w:t xml:space="preserve">Five areas to watch</w:t>
      </w:r>
    </w:p>
    <w:bookmarkStart w:id="14" w:name="X1b26e4c6496dfbbb584460833ae843da2148547"/>
    <w:p>
      <w:pPr>
        <w:pStyle w:val="Heading3"/>
      </w:pPr>
      <w:r>
        <w:t xml:space="preserve">1. Backlog and bookings</w:t>
      </w:r>
    </w:p>
    <w:p>
      <w:pPr>
        <w:pStyle w:val="FirstParagraph"/>
      </w:pPr>
      <w:r>
        <w:t xml:space="preserve">Cadence exited Q1 with a record</w:t>
      </w:r>
      <w:r>
        <w:t xml:space="preserve"> </w:t>
      </w:r>
      <w:r>
        <w:rPr>
          <w:b/>
          <w:bCs/>
        </w:rPr>
        <w:t xml:space="preserve">$8.0 billion backlog</w:t>
      </w:r>
      <w:r>
        <w:t xml:space="preserve">, up from $7.8 billion at the end of 2025. Management described bookings as broad-based and ahead of plan despite 2026 being a lighter renewal year. (</w:t>
      </w:r>
      <w:hyperlink r:id="rId11">
        <w:r>
          <w:rPr>
            <w:rStyle w:val="Hyperlink"/>
          </w:rPr>
          <w:t xml:space="preserve">sec.gov</w:t>
        </w:r>
      </w:hyperlink>
      <w:r>
        <w:t xml:space="preserve">)</w:t>
      </w:r>
    </w:p>
    <w:p>
      <w:pPr>
        <w:pStyle w:val="BodyText"/>
      </w:pPr>
      <w:r>
        <w:t xml:space="preserve">This is arguably the cleanest leading indicator in the report. Investors should focus on:</w:t>
      </w:r>
    </w:p>
    <w:p>
      <w:pPr>
        <w:pStyle w:val="Compact"/>
        <w:numPr>
          <w:ilvl w:val="0"/>
          <w:numId w:val="1004"/>
        </w:numPr>
      </w:pPr>
      <w:r>
        <w:t xml:space="preserve">Whether backlog rises above $8 billion</w:t>
      </w:r>
    </w:p>
    <w:p>
      <w:pPr>
        <w:pStyle w:val="Compact"/>
        <w:numPr>
          <w:ilvl w:val="0"/>
          <w:numId w:val="1004"/>
        </w:numPr>
      </w:pPr>
      <w:r>
        <w:t xml:space="preserve">The balance between renewals and incremental purchases</w:t>
      </w:r>
    </w:p>
    <w:p>
      <w:pPr>
        <w:pStyle w:val="Compact"/>
        <w:numPr>
          <w:ilvl w:val="0"/>
          <w:numId w:val="1004"/>
        </w:numPr>
      </w:pPr>
      <w:r>
        <w:t xml:space="preserve">Whether bookings strength remains broad across EDA, IP and System Design &amp; Analysis</w:t>
      </w:r>
    </w:p>
    <w:p>
      <w:pPr>
        <w:pStyle w:val="Compact"/>
        <w:numPr>
          <w:ilvl w:val="0"/>
          <w:numId w:val="1004"/>
        </w:numPr>
      </w:pPr>
      <w:r>
        <w:t xml:space="preserve">Contract duration and pricing</w:t>
      </w:r>
    </w:p>
    <w:p>
      <w:pPr>
        <w:pStyle w:val="Compact"/>
        <w:numPr>
          <w:ilvl w:val="0"/>
          <w:numId w:val="1004"/>
        </w:numPr>
      </w:pPr>
      <w:r>
        <w:t xml:space="preserve">Whether agentic AI is contributing incremental orders or primarily helping close conventional renewals</w:t>
      </w:r>
    </w:p>
    <w:p>
      <w:pPr>
        <w:pStyle w:val="FirstParagraph"/>
      </w:pPr>
      <w:r>
        <w:t xml:space="preserve">A flat backlog would not necessarily indicate weak demand because timing can be lumpy, but a meaningful decline alongside conservative guidance would weaken the growth narrative.</w:t>
      </w:r>
    </w:p>
    <w:bookmarkEnd w:id="14"/>
    <w:bookmarkStart w:id="17" w:name="X4ced460d1dca1252c5c84f9c1d4776018139638"/>
    <w:p>
      <w:pPr>
        <w:pStyle w:val="Heading3"/>
      </w:pPr>
      <w:r>
        <w:t xml:space="preserve">2. Agentic AI: adoption is more important than product announcements</w:t>
      </w:r>
    </w:p>
    <w:p>
      <w:pPr>
        <w:pStyle w:val="FirstParagraph"/>
      </w:pPr>
      <w:r>
        <w:t xml:space="preserve">Agentic AI has become the central long-term element of the CDNS thesis. Cadence believes it can monetize the opportunity in two ways:</w:t>
      </w:r>
    </w:p>
    <w:p>
      <w:pPr>
        <w:pStyle w:val="Compact"/>
        <w:numPr>
          <w:ilvl w:val="0"/>
          <w:numId w:val="1005"/>
        </w:numPr>
      </w:pPr>
      <w:r>
        <w:t xml:space="preserve">Selling new AI workflow products through a</w:t>
      </w:r>
      <w:r>
        <w:t xml:space="preserve"> </w:t>
      </w:r>
      <w:r>
        <w:rPr>
          <w:b/>
          <w:bCs/>
        </w:rPr>
        <w:t xml:space="preserve">subscription-plus-consumption</w:t>
      </w:r>
      <w:r>
        <w:t xml:space="preserve"> </w:t>
      </w:r>
      <w:r>
        <w:t xml:space="preserve">model</w:t>
      </w:r>
    </w:p>
    <w:p>
      <w:pPr>
        <w:pStyle w:val="Compact"/>
        <w:numPr>
          <w:ilvl w:val="0"/>
          <w:numId w:val="1005"/>
        </w:numPr>
      </w:pPr>
      <w:r>
        <w:t xml:space="preserve">Increasing consumption of underlying simulation, verification and implementation tools as AI agents run more design iterations</w:t>
      </w:r>
    </w:p>
    <w:p>
      <w:pPr>
        <w:pStyle w:val="FirstParagraph"/>
      </w:pPr>
      <w:r>
        <w:t xml:space="preserve">Since Q1, Cadence has expanded ChipStack to what it calls Level-5 autonomy. The company says NVIDIA deployments have demonstrated more than 40x faster RTL validation and compressed a typical five-week verification cycle to less than one day. However, the new autonomous capabilities are only expected to reach early-access customers in the second half of 2026. (</w:t>
      </w:r>
      <w:hyperlink r:id="rId15">
        <w:r>
          <w:rPr>
            <w:rStyle w:val="Hyperlink"/>
          </w:rPr>
          <w:t xml:space="preserve">cadence.com</w:t>
        </w:r>
      </w:hyperlink>
      <w:r>
        <w:t xml:space="preserve">)</w:t>
      </w:r>
    </w:p>
    <w:p>
      <w:pPr>
        <w:pStyle w:val="BodyText"/>
      </w:pPr>
      <w:r>
        <w:t xml:space="preserve">Cadence also introduced AuraStack for PCB and advanced-package design in July, extending its agentic portfolio from silicon design through packaging and systems. The company cited up to 15x productivity and 2x faster time to market, but commercial availability and customer conversion—not benchmark claims—will determine the financial impact. (</w:t>
      </w:r>
      <w:hyperlink r:id="rId16">
        <w:r>
          <w:rPr>
            <w:rStyle w:val="Hyperlink"/>
          </w:rPr>
          <w:t xml:space="preserve">cadence.com</w:t>
        </w:r>
      </w:hyperlink>
      <w:r>
        <w:t xml:space="preserve">)</w:t>
      </w:r>
    </w:p>
    <w:p>
      <w:pPr>
        <w:pStyle w:val="BodyText"/>
      </w:pPr>
      <w:r>
        <w:rPr>
          <w:b/>
          <w:bCs/>
        </w:rPr>
        <w:t xml:space="preserve">What matters on the call:</w:t>
      </w:r>
    </w:p>
    <w:p>
      <w:pPr>
        <w:pStyle w:val="Compact"/>
        <w:numPr>
          <w:ilvl w:val="0"/>
          <w:numId w:val="1006"/>
        </w:numPr>
      </w:pPr>
      <w:r>
        <w:t xml:space="preserve">Number of evaluations and early-access customers</w:t>
      </w:r>
    </w:p>
    <w:p>
      <w:pPr>
        <w:pStyle w:val="Compact"/>
        <w:numPr>
          <w:ilvl w:val="0"/>
          <w:numId w:val="1006"/>
        </w:numPr>
      </w:pPr>
      <w:r>
        <w:t xml:space="preserve">Whether any material agentic AI contracts have been signed</w:t>
      </w:r>
    </w:p>
    <w:p>
      <w:pPr>
        <w:pStyle w:val="Compact"/>
        <w:numPr>
          <w:ilvl w:val="0"/>
          <w:numId w:val="1006"/>
        </w:numPr>
      </w:pPr>
      <w:r>
        <w:t xml:space="preserve">Pricing structure and token/consumption economics</w:t>
      </w:r>
    </w:p>
    <w:p>
      <w:pPr>
        <w:pStyle w:val="Compact"/>
        <w:numPr>
          <w:ilvl w:val="0"/>
          <w:numId w:val="1006"/>
        </w:numPr>
      </w:pPr>
      <w:r>
        <w:t xml:space="preserve">Whether customers are buying incremental base-tool capacity</w:t>
      </w:r>
    </w:p>
    <w:p>
      <w:pPr>
        <w:pStyle w:val="Compact"/>
        <w:numPr>
          <w:ilvl w:val="0"/>
          <w:numId w:val="1006"/>
        </w:numPr>
      </w:pPr>
      <w:r>
        <w:t xml:space="preserve">Whether monetization is occurring outside normal renewal cycles</w:t>
      </w:r>
    </w:p>
    <w:p>
      <w:pPr>
        <w:pStyle w:val="Compact"/>
        <w:numPr>
          <w:ilvl w:val="0"/>
          <w:numId w:val="1006"/>
        </w:numPr>
      </w:pPr>
      <w:r>
        <w:t xml:space="preserve">Management’s expectations for a measurable 2027 contribution</w:t>
      </w:r>
    </w:p>
    <w:p>
      <w:pPr>
        <w:pStyle w:val="FirstParagraph"/>
      </w:pPr>
      <w:r>
        <w:t xml:space="preserve">Cadence previously said its 2026 guidance does</w:t>
      </w:r>
      <w:r>
        <w:t xml:space="preserve"> </w:t>
      </w:r>
      <w:r>
        <w:rPr>
          <w:b/>
          <w:bCs/>
        </w:rPr>
        <w:t xml:space="preserve">not</w:t>
      </w:r>
      <w:r>
        <w:t xml:space="preserve"> </w:t>
      </w:r>
      <w:r>
        <w:t xml:space="preserve">assume a sudden step-up in agentic AI revenue. Therefore, the quarter is primarily about proving adoption and establishing visibility rather than delivering a large near-term revenue contribution.</w:t>
      </w:r>
    </w:p>
    <w:bookmarkEnd w:id="17"/>
    <w:bookmarkStart w:id="21" w:name="X36903f9813650b3d62ca664f3081299d37e3870"/>
    <w:p>
      <w:pPr>
        <w:pStyle w:val="Heading3"/>
      </w:pPr>
      <w:r>
        <w:t xml:space="preserve">3. Core EDA, hardware and IP momentum</w:t>
      </w:r>
    </w:p>
    <w:p>
      <w:pPr>
        <w:pStyle w:val="FirstParagraph"/>
      </w:pPr>
      <w:r>
        <w:t xml:space="preserve">Q1 was unusually strong across Cadence’s major businesses:</w:t>
      </w:r>
    </w:p>
    <w:p>
      <w:pPr>
        <w:pStyle w:val="Compact"/>
        <w:numPr>
          <w:ilvl w:val="0"/>
          <w:numId w:val="1007"/>
        </w:numPr>
      </w:pPr>
      <w:r>
        <w:rPr>
          <w:b/>
          <w:bCs/>
        </w:rPr>
        <w:t xml:space="preserve">Core EDA revenue grew 18%</w:t>
      </w:r>
    </w:p>
    <w:p>
      <w:pPr>
        <w:pStyle w:val="Compact"/>
        <w:numPr>
          <w:ilvl w:val="0"/>
          <w:numId w:val="1007"/>
        </w:numPr>
      </w:pPr>
      <w:r>
        <w:rPr>
          <w:b/>
          <w:bCs/>
        </w:rPr>
        <w:t xml:space="preserve">Semiconductor IP grew 22%</w:t>
      </w:r>
    </w:p>
    <w:p>
      <w:pPr>
        <w:pStyle w:val="Compact"/>
        <w:numPr>
          <w:ilvl w:val="0"/>
          <w:numId w:val="1007"/>
        </w:numPr>
      </w:pPr>
      <w:r>
        <w:rPr>
          <w:b/>
          <w:bCs/>
        </w:rPr>
        <w:t xml:space="preserve">System Design &amp; Analysis grew 18%</w:t>
      </w:r>
    </w:p>
    <w:p>
      <w:pPr>
        <w:pStyle w:val="Compact"/>
        <w:numPr>
          <w:ilvl w:val="0"/>
          <w:numId w:val="1007"/>
        </w:numPr>
      </w:pPr>
      <w:r>
        <w:t xml:space="preserve">Hardware delivered a record quarter</w:t>
      </w:r>
    </w:p>
    <w:p>
      <w:pPr>
        <w:pStyle w:val="FirstParagraph"/>
      </w:pPr>
      <w:r>
        <w:t xml:space="preserve">Growth was supported by AI and HPC design activity, advanced-node implementation, verification demand, 3D-IC complexity and high-speed interface and memory IP. (</w:t>
      </w:r>
      <w:hyperlink r:id="rId18">
        <w:r>
          <w:rPr>
            <w:rStyle w:val="Hyperlink"/>
          </w:rPr>
          <w:t xml:space="preserve">cadence.com</w:t>
        </w:r>
      </w:hyperlink>
      <w:r>
        <w:t xml:space="preserve">)</w:t>
      </w:r>
    </w:p>
    <w:p>
      <w:pPr>
        <w:pStyle w:val="BodyText"/>
      </w:pPr>
      <w:r>
        <w:t xml:space="preserve">The main question is whether this strength was pulled forward. Hardware and individual IP licenses are recognized upfront and can make quarterly results lumpy. Investors should therefore separate:</w:t>
      </w:r>
    </w:p>
    <w:p>
      <w:pPr>
        <w:pStyle w:val="Compact"/>
        <w:numPr>
          <w:ilvl w:val="0"/>
          <w:numId w:val="1008"/>
        </w:numPr>
      </w:pPr>
      <w:r>
        <w:t xml:space="preserve">Sustainable software and maintenance growth</w:t>
      </w:r>
    </w:p>
    <w:p>
      <w:pPr>
        <w:pStyle w:val="Compact"/>
        <w:numPr>
          <w:ilvl w:val="0"/>
          <w:numId w:val="1008"/>
        </w:numPr>
      </w:pPr>
      <w:r>
        <w:t xml:space="preserve">Palladium and Protium shipment timing</w:t>
      </w:r>
    </w:p>
    <w:p>
      <w:pPr>
        <w:pStyle w:val="Compact"/>
        <w:numPr>
          <w:ilvl w:val="0"/>
          <w:numId w:val="1008"/>
        </w:numPr>
      </w:pPr>
      <w:r>
        <w:t xml:space="preserve">Large one-time IP deals</w:t>
      </w:r>
    </w:p>
    <w:p>
      <w:pPr>
        <w:pStyle w:val="Compact"/>
        <w:numPr>
          <w:ilvl w:val="0"/>
          <w:numId w:val="1008"/>
        </w:numPr>
      </w:pPr>
      <w:r>
        <w:t xml:space="preserve">Acquired Hexagon revenue</w:t>
      </w:r>
    </w:p>
    <w:p>
      <w:pPr>
        <w:pStyle w:val="Compact"/>
        <w:numPr>
          <w:ilvl w:val="0"/>
          <w:numId w:val="1008"/>
        </w:numPr>
      </w:pPr>
      <w:r>
        <w:t xml:space="preserve">Services revenue</w:t>
      </w:r>
    </w:p>
    <w:p>
      <w:pPr>
        <w:pStyle w:val="FirstParagraph"/>
      </w:pPr>
      <w:r>
        <w:t xml:space="preserve">The competitive backdrop remains supportive. Synopsys reported strong AI-driven demand in its May quarter and raised its full-year revenue, operating-margin, EPS and free-cash-flow outlook. That is a favorable read-through for semiconductor design activity, although company-specific hardware and IP timing can differ materially. (</w:t>
      </w:r>
      <w:hyperlink r:id="rId19">
        <w:r>
          <w:rPr>
            <w:rStyle w:val="Hyperlink"/>
          </w:rPr>
          <w:t xml:space="preserve">investor.synopsys.com</w:t>
        </w:r>
      </w:hyperlink>
      <w:r>
        <w:t xml:space="preserve">)</w:t>
      </w:r>
    </w:p>
    <w:p>
      <w:pPr>
        <w:pStyle w:val="BodyText"/>
      </w:pPr>
      <w:r>
        <w:t xml:space="preserve">Cadence has also expanded its advanced-node ecosystem through a multi-year Intel 14A collaboration and a new Rapidus partnership involving the InnoStack AI Super Agent. These agreements reinforce the long-term EDA and IP opportunity, although near-term revenue may be limited while process enablement and customer designs progress toward production. (</w:t>
      </w:r>
      <w:hyperlink r:id="rId20">
        <w:r>
          <w:rPr>
            <w:rStyle w:val="Hyperlink"/>
          </w:rPr>
          <w:t xml:space="preserve">cadence.com</w:t>
        </w:r>
      </w:hyperlink>
      <w:r>
        <w:t xml:space="preserve">)</w:t>
      </w:r>
    </w:p>
    <w:bookmarkEnd w:id="21"/>
    <w:bookmarkStart w:id="22" w:name="X82678628f1143272a8a2d9c01f694206dbc10f5"/>
    <w:p>
      <w:pPr>
        <w:pStyle w:val="Heading3"/>
      </w:pPr>
      <w:r>
        <w:t xml:space="preserve">4. Hexagon integration and margin quality</w:t>
      </w:r>
    </w:p>
    <w:p>
      <w:pPr>
        <w:pStyle w:val="FirstParagraph"/>
      </w:pPr>
      <w:r>
        <w:t xml:space="preserve">The Hexagon D&amp;E acquisition adds structural analysis and multibody dynamics products to Cadence’s System Design &amp; Analysis portfolio. Strategically, it strengthens Cadence’s position in automotive, robotics, aerospace and “physical AI.”</w:t>
      </w:r>
    </w:p>
    <w:p>
      <w:pPr>
        <w:pStyle w:val="BodyText"/>
      </w:pPr>
      <w:r>
        <w:t xml:space="preserve">Financially, however, 2026 is an integration year:</w:t>
      </w:r>
    </w:p>
    <w:p>
      <w:pPr>
        <w:pStyle w:val="Compact"/>
        <w:numPr>
          <w:ilvl w:val="0"/>
          <w:numId w:val="1009"/>
        </w:numPr>
      </w:pPr>
      <w:r>
        <w:t xml:space="preserve">Expected 2026 revenue contribution:</w:t>
      </w:r>
      <w:r>
        <w:t xml:space="preserve"> </w:t>
      </w:r>
      <w:r>
        <w:rPr>
          <w:b/>
          <w:bCs/>
        </w:rPr>
        <w:t xml:space="preserve">approximately $160M</w:t>
      </w:r>
    </w:p>
    <w:p>
      <w:pPr>
        <w:pStyle w:val="Compact"/>
        <w:numPr>
          <w:ilvl w:val="0"/>
          <w:numId w:val="1009"/>
        </w:numPr>
      </w:pPr>
      <w:r>
        <w:t xml:space="preserve">Expected non-GAAP EPS dilution:</w:t>
      </w:r>
      <w:r>
        <w:t xml:space="preserve"> </w:t>
      </w:r>
      <w:r>
        <w:rPr>
          <w:b/>
          <w:bCs/>
        </w:rPr>
        <w:t xml:space="preserve">approximately $0.28</w:t>
      </w:r>
    </w:p>
    <w:p>
      <w:pPr>
        <w:pStyle w:val="Compact"/>
        <w:numPr>
          <w:ilvl w:val="0"/>
          <w:numId w:val="1009"/>
        </w:numPr>
      </w:pPr>
      <w:r>
        <w:t xml:space="preserve">Near-term operating margin: roughly</w:t>
      </w:r>
      <w:r>
        <w:t xml:space="preserve"> </w:t>
      </w:r>
      <w:r>
        <w:rPr>
          <w:b/>
          <w:bCs/>
        </w:rPr>
        <w:t xml:space="preserve">5%–10%</w:t>
      </w:r>
    </w:p>
    <w:p>
      <w:pPr>
        <w:pStyle w:val="Compact"/>
        <w:numPr>
          <w:ilvl w:val="0"/>
          <w:numId w:val="1009"/>
        </w:numPr>
      </w:pPr>
      <w:r>
        <w:t xml:space="preserve">Expected to become accretive in 2027</w:t>
      </w:r>
    </w:p>
    <w:p>
      <w:pPr>
        <w:pStyle w:val="FirstParagraph"/>
      </w:pPr>
      <w:r>
        <w:t xml:space="preserve">Management has also noted that the acquired business has historically been more first-half weighted. That creates a risk that consolidated sequential growth slows in Q3 even if the organic Cadence business remains healthy.</w:t>
      </w:r>
    </w:p>
    <w:p>
      <w:pPr>
        <w:pStyle w:val="BodyText"/>
      </w:pPr>
      <w:r>
        <w:t xml:space="preserve">Investors should look for:</w:t>
      </w:r>
    </w:p>
    <w:p>
      <w:pPr>
        <w:pStyle w:val="Compact"/>
        <w:numPr>
          <w:ilvl w:val="0"/>
          <w:numId w:val="1010"/>
        </w:numPr>
      </w:pPr>
      <w:r>
        <w:t xml:space="preserve">Organic revenue growth excluding Hexagon</w:t>
      </w:r>
    </w:p>
    <w:p>
      <w:pPr>
        <w:pStyle w:val="Compact"/>
        <w:numPr>
          <w:ilvl w:val="0"/>
          <w:numId w:val="1010"/>
        </w:numPr>
      </w:pPr>
      <w:r>
        <w:t xml:space="preserve">Progress improving the acquired business’s margin</w:t>
      </w:r>
    </w:p>
    <w:p>
      <w:pPr>
        <w:pStyle w:val="Compact"/>
        <w:numPr>
          <w:ilvl w:val="0"/>
          <w:numId w:val="1010"/>
        </w:numPr>
      </w:pPr>
      <w:r>
        <w:t xml:space="preserve">Cross-selling into Cadence’s semiconductor and systems customer base</w:t>
      </w:r>
    </w:p>
    <w:p>
      <w:pPr>
        <w:pStyle w:val="Compact"/>
        <w:numPr>
          <w:ilvl w:val="0"/>
          <w:numId w:val="1010"/>
        </w:numPr>
      </w:pPr>
      <w:r>
        <w:t xml:space="preserve">Retention of Hexagon employees and channel partners</w:t>
      </w:r>
    </w:p>
    <w:p>
      <w:pPr>
        <w:pStyle w:val="Compact"/>
        <w:numPr>
          <w:ilvl w:val="0"/>
          <w:numId w:val="1010"/>
        </w:numPr>
      </w:pPr>
      <w:r>
        <w:t xml:space="preserve">Confirmation that 2027 accretion remains on schedule</w:t>
      </w:r>
    </w:p>
    <w:p>
      <w:pPr>
        <w:pStyle w:val="FirstParagraph"/>
      </w:pPr>
      <w:r>
        <w:t xml:space="preserve">A revenue beat driven mainly by Hexagon, without corresponding organic strength or integration progress, would be lower quality.</w:t>
      </w:r>
    </w:p>
    <w:bookmarkEnd w:id="22"/>
    <w:bookmarkStart w:id="23" w:name="Xabf14d999857e56ee39a1094dc61c7718335b66"/>
    <w:p>
      <w:pPr>
        <w:pStyle w:val="Heading3"/>
      </w:pPr>
      <w:r>
        <w:t xml:space="preserve">5. China, export controls and cash conversion</w:t>
      </w:r>
    </w:p>
    <w:p>
      <w:pPr>
        <w:pStyle w:val="FirstParagraph"/>
      </w:pPr>
      <w:r>
        <w:t xml:space="preserve">China represented</w:t>
      </w:r>
      <w:r>
        <w:t xml:space="preserve"> </w:t>
      </w:r>
      <w:r>
        <w:rPr>
          <w:b/>
          <w:bCs/>
        </w:rPr>
        <w:t xml:space="preserve">13% of Q1 revenue</w:t>
      </w:r>
      <w:r>
        <w:t xml:space="preserve">, up from 11% one year earlier. Cadence continues to assume that existing export-control rules remain substantially unchanged for the rest of the year. Its filings also highlight tariffs, China restrictions and compliance obligations following its 2025 settlements with U.S. authorities as continuing risks. (</w:t>
      </w:r>
      <w:hyperlink r:id="rId11">
        <w:r>
          <w:rPr>
            <w:rStyle w:val="Hyperlink"/>
          </w:rPr>
          <w:t xml:space="preserve">sec.gov</w:t>
        </w:r>
      </w:hyperlink>
      <w:r>
        <w:t xml:space="preserve">)</w:t>
      </w:r>
    </w:p>
    <w:p>
      <w:pPr>
        <w:pStyle w:val="BodyText"/>
      </w:pPr>
      <w:r>
        <w:t xml:space="preserve">Key questions include:</w:t>
      </w:r>
    </w:p>
    <w:p>
      <w:pPr>
        <w:pStyle w:val="Compact"/>
        <w:numPr>
          <w:ilvl w:val="0"/>
          <w:numId w:val="1011"/>
        </w:numPr>
      </w:pPr>
      <w:r>
        <w:t xml:space="preserve">Whether China remains near 13% of annual revenue</w:t>
      </w:r>
    </w:p>
    <w:p>
      <w:pPr>
        <w:pStyle w:val="Compact"/>
        <w:numPr>
          <w:ilvl w:val="0"/>
          <w:numId w:val="1011"/>
        </w:numPr>
      </w:pPr>
      <w:r>
        <w:t xml:space="preserve">Any changes in customer behavior following tighter technology restrictions</w:t>
      </w:r>
    </w:p>
    <w:p>
      <w:pPr>
        <w:pStyle w:val="Compact"/>
        <w:numPr>
          <w:ilvl w:val="0"/>
          <w:numId w:val="1011"/>
        </w:numPr>
      </w:pPr>
      <w:r>
        <w:t xml:space="preserve">Whether trade controls affect IP, advanced-node tools or hardware deliveries</w:t>
      </w:r>
    </w:p>
    <w:p>
      <w:pPr>
        <w:pStyle w:val="Compact"/>
        <w:numPr>
          <w:ilvl w:val="0"/>
          <w:numId w:val="1011"/>
        </w:numPr>
      </w:pPr>
      <w:r>
        <w:t xml:space="preserve">Whether customers are accelerating or delaying purchases</w:t>
      </w:r>
    </w:p>
    <w:p>
      <w:pPr>
        <w:pStyle w:val="FirstParagraph"/>
      </w:pPr>
      <w:r>
        <w:t xml:space="preserve">Cash conversion also deserves attention. Q1 operating cash flow was $356 million, down year over year because of collection and disbursement timing. The reported 2026 cash-flow outlook includes approximately $180 million of pre-closing Hexagon tax liabilities that management views economically as part of the acquisition price. Excluding that item, management characterized underlying operating cash flow expectations as roughly $2.1 billion.</w:t>
      </w:r>
    </w:p>
    <w:bookmarkEnd w:id="23"/>
    <w:bookmarkEnd w:id="24"/>
    <w:bookmarkStart w:id="25" w:name="stock-setup"/>
    <w:p>
      <w:pPr>
        <w:pStyle w:val="Heading2"/>
      </w:pPr>
      <w:r>
        <w:t xml:space="preserve">Stock setup</w:t>
      </w:r>
    </w:p>
    <w:p>
      <w:pPr>
        <w:pStyle w:val="FirstParagraph"/>
      </w:pPr>
      <w:r>
        <w:t xml:space="preserve">CDNS closed July 24 at approximately</w:t>
      </w:r>
      <w:r>
        <w:t xml:space="preserve"> </w:t>
      </w:r>
      <w:r>
        <w:rPr>
          <w:b/>
          <w:bCs/>
        </w:rPr>
        <w:t xml:space="preserve">$326.28</w:t>
      </w:r>
      <w:r>
        <w:t xml:space="preserve">:</w:t>
      </w:r>
    </w:p>
    <w:p>
      <w:pPr>
        <w:pStyle w:val="Compact"/>
        <w:numPr>
          <w:ilvl w:val="0"/>
          <w:numId w:val="1012"/>
        </w:numPr>
      </w:pPr>
      <w:r>
        <w:t xml:space="preserve">Up roughly</w:t>
      </w:r>
      <w:r>
        <w:t xml:space="preserve"> </w:t>
      </w:r>
      <w:r>
        <w:rPr>
          <w:b/>
          <w:bCs/>
        </w:rPr>
        <w:t xml:space="preserve">4% year to date</w:t>
      </w:r>
    </w:p>
    <w:p>
      <w:pPr>
        <w:pStyle w:val="Compact"/>
        <w:numPr>
          <w:ilvl w:val="0"/>
          <w:numId w:val="1012"/>
        </w:numPr>
      </w:pPr>
      <w:r>
        <w:t xml:space="preserve">Down about</w:t>
      </w:r>
      <w:r>
        <w:t xml:space="preserve"> </w:t>
      </w:r>
      <w:r>
        <w:rPr>
          <w:b/>
          <w:bCs/>
        </w:rPr>
        <w:t xml:space="preserve">22%</w:t>
      </w:r>
      <w:r>
        <w:t xml:space="preserve"> </w:t>
      </w:r>
      <w:r>
        <w:t xml:space="preserve">from its June 2 closing high</w:t>
      </w:r>
    </w:p>
    <w:p>
      <w:pPr>
        <w:pStyle w:val="Compact"/>
        <w:numPr>
          <w:ilvl w:val="0"/>
          <w:numId w:val="1012"/>
        </w:numPr>
      </w:pPr>
      <w:r>
        <w:t xml:space="preserve">Trading around</w:t>
      </w:r>
      <w:r>
        <w:t xml:space="preserve"> </w:t>
      </w:r>
      <w:r>
        <w:rPr>
          <w:b/>
          <w:bCs/>
        </w:rPr>
        <w:t xml:space="preserve">41x</w:t>
      </w:r>
      <w:r>
        <w:t xml:space="preserve"> </w:t>
      </w:r>
      <w:r>
        <w:t xml:space="preserve">the $7.90 midpoint of 2026 non-GAAP EPS guidance</w:t>
      </w:r>
    </w:p>
    <w:p>
      <w:pPr>
        <w:pStyle w:val="FirstParagraph"/>
      </w:pPr>
      <w:r>
        <w:t xml:space="preserve">The pullback improves the setup relative to early June, when enthusiasm around the ChipStack announcement was highest. Nevertheless, the multiple still assumes durable double-digit growth, strong margins and successful monetization of AI-driven design complexity.</w:t>
      </w:r>
    </w:p>
    <w:p>
      <w:pPr>
        <w:pStyle w:val="BodyText"/>
      </w:pPr>
      <w:r>
        <w:t xml:space="preserve">That suggests the stock may need a combination of:</w:t>
      </w:r>
    </w:p>
    <w:p>
      <w:pPr>
        <w:pStyle w:val="Compact"/>
        <w:numPr>
          <w:ilvl w:val="0"/>
          <w:numId w:val="1013"/>
        </w:numPr>
      </w:pPr>
      <w:r>
        <w:t xml:space="preserve">Revenue and EPS above the top half of guidance</w:t>
      </w:r>
    </w:p>
    <w:p>
      <w:pPr>
        <w:pStyle w:val="Compact"/>
        <w:numPr>
          <w:ilvl w:val="0"/>
          <w:numId w:val="1013"/>
        </w:numPr>
      </w:pPr>
      <w:r>
        <w:t xml:space="preserve">A full-year revenue raise</w:t>
      </w:r>
    </w:p>
    <w:p>
      <w:pPr>
        <w:pStyle w:val="Compact"/>
        <w:numPr>
          <w:ilvl w:val="0"/>
          <w:numId w:val="1013"/>
        </w:numPr>
      </w:pPr>
      <w:r>
        <w:t xml:space="preserve">Stable or improving backlog</w:t>
      </w:r>
    </w:p>
    <w:p>
      <w:pPr>
        <w:pStyle w:val="Compact"/>
        <w:numPr>
          <w:ilvl w:val="0"/>
          <w:numId w:val="1013"/>
        </w:numPr>
      </w:pPr>
      <w:r>
        <w:t xml:space="preserve">Constructive Q3 guidance</w:t>
      </w:r>
    </w:p>
    <w:p>
      <w:pPr>
        <w:pStyle w:val="Compact"/>
        <w:numPr>
          <w:ilvl w:val="0"/>
          <w:numId w:val="1013"/>
        </w:numPr>
      </w:pPr>
      <w:r>
        <w:t xml:space="preserve">Concrete agentic AI adoption data</w:t>
      </w:r>
    </w:p>
    <w:p>
      <w:pPr>
        <w:pStyle w:val="FirstParagraph"/>
      </w:pPr>
      <w:r>
        <w:t xml:space="preserve">A basic in-line result may not be enough to produce sustained upside.</w:t>
      </w:r>
    </w:p>
    <w:bookmarkEnd w:id="25"/>
    <w:bookmarkStart w:id="26" w:name="questions-investors-should-want-answered"/>
    <w:p>
      <w:pPr>
        <w:pStyle w:val="Heading2"/>
      </w:pPr>
      <w:r>
        <w:t xml:space="preserve">Questions investors should want answered</w:t>
      </w:r>
    </w:p>
    <w:p>
      <w:pPr>
        <w:pStyle w:val="Compact"/>
        <w:numPr>
          <w:ilvl w:val="0"/>
          <w:numId w:val="1014"/>
        </w:numPr>
      </w:pPr>
      <w:r>
        <w:rPr>
          <w:b/>
          <w:bCs/>
        </w:rPr>
        <w:t xml:space="preserve">How much did backlog and annualized contract value grow in Q2?</w:t>
      </w:r>
    </w:p>
    <w:p>
      <w:pPr>
        <w:pStyle w:val="Compact"/>
        <w:numPr>
          <w:ilvl w:val="0"/>
          <w:numId w:val="1014"/>
        </w:numPr>
      </w:pPr>
      <w:r>
        <w:rPr>
          <w:b/>
          <w:bCs/>
        </w:rPr>
        <w:t xml:space="preserve">What portion of growth was organic versus Hexagon-related?</w:t>
      </w:r>
    </w:p>
    <w:p>
      <w:pPr>
        <w:pStyle w:val="Compact"/>
        <w:numPr>
          <w:ilvl w:val="0"/>
          <w:numId w:val="1014"/>
        </w:numPr>
      </w:pPr>
      <w:r>
        <w:rPr>
          <w:b/>
          <w:bCs/>
        </w:rPr>
        <w:t xml:space="preserve">Is IP still growing above 20%, and how much depends on large upfront transactions?</w:t>
      </w:r>
    </w:p>
    <w:p>
      <w:pPr>
        <w:pStyle w:val="Compact"/>
        <w:numPr>
          <w:ilvl w:val="0"/>
          <w:numId w:val="1014"/>
        </w:numPr>
      </w:pPr>
      <w:r>
        <w:rPr>
          <w:b/>
          <w:bCs/>
        </w:rPr>
        <w:t xml:space="preserve">Was Q1’s record hardware result followed by continued strength or a normalization?</w:t>
      </w:r>
    </w:p>
    <w:p>
      <w:pPr>
        <w:pStyle w:val="Compact"/>
        <w:numPr>
          <w:ilvl w:val="0"/>
          <w:numId w:val="1014"/>
        </w:numPr>
      </w:pPr>
      <w:r>
        <w:rPr>
          <w:b/>
          <w:bCs/>
        </w:rPr>
        <w:t xml:space="preserve">Have customers signed incremental paid contracts for ChipStack, AgentStack, InnoStack, ViraStack or AuraStack?</w:t>
      </w:r>
    </w:p>
    <w:p>
      <w:pPr>
        <w:pStyle w:val="Compact"/>
        <w:numPr>
          <w:ilvl w:val="0"/>
          <w:numId w:val="1014"/>
        </w:numPr>
      </w:pPr>
      <w:r>
        <w:rPr>
          <w:b/>
          <w:bCs/>
        </w:rPr>
        <w:t xml:space="preserve">Are agentic products increasing base-tool consumption today, or is that still primarily a future expectation?</w:t>
      </w:r>
    </w:p>
    <w:p>
      <w:pPr>
        <w:pStyle w:val="Compact"/>
        <w:numPr>
          <w:ilvl w:val="0"/>
          <w:numId w:val="1014"/>
        </w:numPr>
      </w:pPr>
      <w:r>
        <w:rPr>
          <w:b/>
          <w:bCs/>
        </w:rPr>
        <w:t xml:space="preserve">How should investors model Q3 given Hexagon and hardware seasonality?</w:t>
      </w:r>
    </w:p>
    <w:p>
      <w:pPr>
        <w:pStyle w:val="Compact"/>
        <w:numPr>
          <w:ilvl w:val="0"/>
          <w:numId w:val="1014"/>
        </w:numPr>
      </w:pPr>
      <w:r>
        <w:rPr>
          <w:b/>
          <w:bCs/>
        </w:rPr>
        <w:t xml:space="preserve">Can Cadence sustain approximately 44% non-GAAP margins while funding agentic AI and integrating Hexagon?</w:t>
      </w:r>
    </w:p>
    <w:p>
      <w:pPr>
        <w:pStyle w:val="Compact"/>
        <w:numPr>
          <w:ilvl w:val="0"/>
          <w:numId w:val="1014"/>
        </w:numPr>
      </w:pPr>
      <w:r>
        <w:rPr>
          <w:b/>
          <w:bCs/>
        </w:rPr>
        <w:t xml:space="preserve">Does management still expect Hexagon to become accretive in 2027?</w:t>
      </w:r>
    </w:p>
    <w:p>
      <w:pPr>
        <w:pStyle w:val="Compact"/>
        <w:numPr>
          <w:ilvl w:val="0"/>
          <w:numId w:val="1014"/>
        </w:numPr>
      </w:pPr>
      <w:r>
        <w:rPr>
          <w:b/>
          <w:bCs/>
        </w:rPr>
        <w:t xml:space="preserve">What changes, if any, are being seen in China demand and export-control compliance?</w:t>
      </w:r>
    </w:p>
    <w:bookmarkEnd w:id="26"/>
    <w:bookmarkStart w:id="30" w:name="potential-reaction-framework"/>
    <w:p>
      <w:pPr>
        <w:pStyle w:val="Heading2"/>
      </w:pPr>
      <w:r>
        <w:t xml:space="preserve">Potential reaction framework</w:t>
      </w:r>
    </w:p>
    <w:bookmarkStart w:id="27" w:name="bullish"/>
    <w:p>
      <w:pPr>
        <w:pStyle w:val="Heading3"/>
      </w:pPr>
      <w:r>
        <w:t xml:space="preserve">Bullish</w:t>
      </w:r>
    </w:p>
    <w:p>
      <w:pPr>
        <w:pStyle w:val="Compact"/>
        <w:numPr>
          <w:ilvl w:val="0"/>
          <w:numId w:val="1015"/>
        </w:numPr>
      </w:pPr>
      <w:r>
        <w:t xml:space="preserve">Revenue and EPS at or above the top of guidance</w:t>
      </w:r>
    </w:p>
    <w:p>
      <w:pPr>
        <w:pStyle w:val="Compact"/>
        <w:numPr>
          <w:ilvl w:val="0"/>
          <w:numId w:val="1015"/>
        </w:numPr>
      </w:pPr>
      <w:r>
        <w:t xml:space="preserve">Backlog reaches a new record</w:t>
      </w:r>
    </w:p>
    <w:p>
      <w:pPr>
        <w:pStyle w:val="Compact"/>
        <w:numPr>
          <w:ilvl w:val="0"/>
          <w:numId w:val="1015"/>
        </w:numPr>
      </w:pPr>
      <w:r>
        <w:t xml:space="preserve">Full-year organic revenue outlook rises</w:t>
      </w:r>
    </w:p>
    <w:p>
      <w:pPr>
        <w:pStyle w:val="Compact"/>
        <w:numPr>
          <w:ilvl w:val="0"/>
          <w:numId w:val="1015"/>
        </w:numPr>
      </w:pPr>
      <w:r>
        <w:t xml:space="preserve">Q3 guidance indicates continued sequential growth</w:t>
      </w:r>
    </w:p>
    <w:p>
      <w:pPr>
        <w:pStyle w:val="Compact"/>
        <w:numPr>
          <w:ilvl w:val="0"/>
          <w:numId w:val="1015"/>
        </w:numPr>
      </w:pPr>
      <w:r>
        <w:t xml:space="preserve">Management cites paid agentic AI deployments or measurable base-tool consumption</w:t>
      </w:r>
    </w:p>
    <w:p>
      <w:pPr>
        <w:pStyle w:val="Compact"/>
        <w:numPr>
          <w:ilvl w:val="0"/>
          <w:numId w:val="1015"/>
        </w:numPr>
      </w:pPr>
      <w:r>
        <w:t xml:space="preserve">Hexagon integration remains on track</w:t>
      </w:r>
    </w:p>
    <w:bookmarkEnd w:id="27"/>
    <w:bookmarkStart w:id="28" w:name="neutral"/>
    <w:p>
      <w:pPr>
        <w:pStyle w:val="Heading3"/>
      </w:pPr>
      <w:r>
        <w:t xml:space="preserve">Neutral</w:t>
      </w:r>
    </w:p>
    <w:p>
      <w:pPr>
        <w:pStyle w:val="Compact"/>
        <w:numPr>
          <w:ilvl w:val="0"/>
          <w:numId w:val="1016"/>
        </w:numPr>
      </w:pPr>
      <w:r>
        <w:t xml:space="preserve">Results near the upper half of guidance</w:t>
      </w:r>
    </w:p>
    <w:p>
      <w:pPr>
        <w:pStyle w:val="Compact"/>
        <w:numPr>
          <w:ilvl w:val="0"/>
          <w:numId w:val="1016"/>
        </w:numPr>
      </w:pPr>
      <w:r>
        <w:t xml:space="preserve">Modest annual raise</w:t>
      </w:r>
    </w:p>
    <w:p>
      <w:pPr>
        <w:pStyle w:val="Compact"/>
        <w:numPr>
          <w:ilvl w:val="0"/>
          <w:numId w:val="1016"/>
        </w:numPr>
      </w:pPr>
      <w:r>
        <w:t xml:space="preserve">Q3 is seasonally softer</w:t>
      </w:r>
    </w:p>
    <w:p>
      <w:pPr>
        <w:pStyle w:val="Compact"/>
        <w:numPr>
          <w:ilvl w:val="0"/>
          <w:numId w:val="1016"/>
        </w:numPr>
      </w:pPr>
      <w:r>
        <w:t xml:space="preserve">Backlog remains near $8 billion</w:t>
      </w:r>
    </w:p>
    <w:p>
      <w:pPr>
        <w:pStyle w:val="Compact"/>
        <w:numPr>
          <w:ilvl w:val="0"/>
          <w:numId w:val="1016"/>
        </w:numPr>
      </w:pPr>
      <w:r>
        <w:t xml:space="preserve">AI evaluations are strong, but material monetization remains a 2027 story</w:t>
      </w:r>
    </w:p>
    <w:bookmarkEnd w:id="28"/>
    <w:bookmarkStart w:id="29" w:name="bearish"/>
    <w:p>
      <w:pPr>
        <w:pStyle w:val="Heading3"/>
      </w:pPr>
      <w:r>
        <w:t xml:space="preserve">Bearish</w:t>
      </w:r>
    </w:p>
    <w:p>
      <w:pPr>
        <w:pStyle w:val="Compact"/>
        <w:numPr>
          <w:ilvl w:val="0"/>
          <w:numId w:val="1017"/>
        </w:numPr>
      </w:pPr>
      <w:r>
        <w:t xml:space="preserve">Revenue or margin near the low end of guidance</w:t>
      </w:r>
    </w:p>
    <w:p>
      <w:pPr>
        <w:pStyle w:val="Compact"/>
        <w:numPr>
          <w:ilvl w:val="0"/>
          <w:numId w:val="1017"/>
        </w:numPr>
      </w:pPr>
      <w:r>
        <w:t xml:space="preserve">No meaningful full-year raise</w:t>
      </w:r>
    </w:p>
    <w:p>
      <w:pPr>
        <w:pStyle w:val="Compact"/>
        <w:numPr>
          <w:ilvl w:val="0"/>
          <w:numId w:val="1017"/>
        </w:numPr>
      </w:pPr>
      <w:r>
        <w:t xml:space="preserve">Backlog declines or bookings weaken</w:t>
      </w:r>
    </w:p>
    <w:p>
      <w:pPr>
        <w:pStyle w:val="Compact"/>
        <w:numPr>
          <w:ilvl w:val="0"/>
          <w:numId w:val="1017"/>
        </w:numPr>
      </w:pPr>
      <w:r>
        <w:t xml:space="preserve">Organic growth trails the consolidated result</w:t>
      </w:r>
    </w:p>
    <w:p>
      <w:pPr>
        <w:pStyle w:val="Compact"/>
        <w:numPr>
          <w:ilvl w:val="0"/>
          <w:numId w:val="1017"/>
        </w:numPr>
      </w:pPr>
      <w:r>
        <w:t xml:space="preserve">Hardware or IP demand normalizes more sharply than expected</w:t>
      </w:r>
    </w:p>
    <w:p>
      <w:pPr>
        <w:pStyle w:val="Compact"/>
        <w:numPr>
          <w:ilvl w:val="0"/>
          <w:numId w:val="1017"/>
        </w:numPr>
      </w:pPr>
      <w:r>
        <w:t xml:space="preserve">Integration, China or export-control concerns increase</w:t>
      </w:r>
    </w:p>
    <w:bookmarkEnd w:id="29"/>
    <w:bookmarkEnd w:id="30"/>
    <w:bookmarkStart w:id="31" w:name="overall-view"/>
    <w:p>
      <w:pPr>
        <w:pStyle w:val="Heading2"/>
      </w:pPr>
      <w:r>
        <w:t xml:space="preserve">Overall view</w:t>
      </w:r>
    </w:p>
    <w:p>
      <w:pPr>
        <w:pStyle w:val="FirstParagraph"/>
      </w:pPr>
      <w:r>
        <w:t xml:space="preserve">The fundamental backdrop remains favorable: AI is increasing chip complexity, custom-silicon activity, verification requirements, advanced packaging and demand for high-speed IP. Cadence’s Q1 execution and backlog provide good visibility, while recent product and foundry announcements strengthen its strategic position.</w:t>
      </w:r>
    </w:p>
    <w:p>
      <w:pPr>
        <w:pStyle w:val="BodyText"/>
      </w:pPr>
      <w:r>
        <w:t xml:space="preserve">For this particular report, however,</w:t>
      </w:r>
      <w:r>
        <w:t xml:space="preserve"> </w:t>
      </w:r>
      <w:r>
        <w:rPr>
          <w:b/>
          <w:bCs/>
        </w:rPr>
        <w:t xml:space="preserve">the forward outlook matters more than the Q2 headline numbers</w:t>
      </w:r>
      <w:r>
        <w:t xml:space="preserve">. Consensus already matches the midpoint of management’s guidance. The best evidence that the earnings trajectory remains ahead of expectations would be another backlog increase, a credible organic guidance raise and tangible progress turning agentic AI from a powerful product story into incremental revenue.</w:t>
      </w:r>
    </w:p>
    <w:bookmarkEnd w:id="31"/>
    <w:bookmarkEnd w:id="3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9" Target="https://investor.synopsys.com/news/news-details/2026/Synopsys-Posts-Financial-Results-for-Second-Quarter-Fiscal-Year-2026/default.aspx?utm_source=openai" TargetMode="External" /><Relationship Type="http://schemas.openxmlformats.org/officeDocument/2006/relationships/hyperlink" Id="rId18" Target="https://www.cadence.com/en_US/home/company/newsroom/press-releases/pr-ir/2026/cadence-reports-first-quarter-2026-financial-results.html?utm_source=openai" TargetMode="External" /><Relationship Type="http://schemas.openxmlformats.org/officeDocument/2006/relationships/hyperlink" Id="rId20" Target="https://www.cadence.com/en_US/home/company/newsroom/press-releases/pr/2026/cadence-announces-collaboration-with-intel-foundry-to-accelerate.html?utm_source=openai" TargetMode="External" /><Relationship Type="http://schemas.openxmlformats.org/officeDocument/2006/relationships/hyperlink" Id="rId16" Target="https://www.cadence.com/en_US/home/company/newsroom/press-releases/pr/2026/cadence-introduces-aurastack-ai-super-agent-the-worlds-first.html?utm_source=openai" TargetMode="External" /><Relationship Type="http://schemas.openxmlformats.org/officeDocument/2006/relationships/hyperlink" Id="rId15" Target="https://www.cadence.com/en_US/home/company/newsroom/press-releases/pr/2026/cadence-unveils-industrys-first-fully-autonomous-virtual.html?utm_source=openai" TargetMode="External" /><Relationship Type="http://schemas.openxmlformats.org/officeDocument/2006/relationships/hyperlink" Id="rId10" Target="https://www.metatrader.com/en/news/zacks/1901196-cadence-design-to-release-q2-earnings-here-s-what-to?utm_source=openai" TargetMode="External" /><Relationship Type="http://schemas.openxmlformats.org/officeDocument/2006/relationships/hyperlink" Id="rId11" Target="https://www.sec.gov/Archives/edgar/data/813672/000081367226000044/cfocommentary04272026ex9902.htm?utm_source=openai" TargetMode="External" /></Relationships>
</file>

<file path=word/_rels/footnotes.xml.rels><?xml version="1.0" encoding="UTF-8"?><Relationships xmlns="http://schemas.openxmlformats.org/package/2006/relationships"><Relationship Type="http://schemas.openxmlformats.org/officeDocument/2006/relationships/hyperlink" Id="rId19" Target="https://investor.synopsys.com/news/news-details/2026/Synopsys-Posts-Financial-Results-for-Second-Quarter-Fiscal-Year-2026/default.aspx?utm_source=openai" TargetMode="External" /><Relationship Type="http://schemas.openxmlformats.org/officeDocument/2006/relationships/hyperlink" Id="rId18" Target="https://www.cadence.com/en_US/home/company/newsroom/press-releases/pr-ir/2026/cadence-reports-first-quarter-2026-financial-results.html?utm_source=openai" TargetMode="External" /><Relationship Type="http://schemas.openxmlformats.org/officeDocument/2006/relationships/hyperlink" Id="rId20" Target="https://www.cadence.com/en_US/home/company/newsroom/press-releases/pr/2026/cadence-announces-collaboration-with-intel-foundry-to-accelerate.html?utm_source=openai" TargetMode="External" /><Relationship Type="http://schemas.openxmlformats.org/officeDocument/2006/relationships/hyperlink" Id="rId16" Target="https://www.cadence.com/en_US/home/company/newsroom/press-releases/pr/2026/cadence-introduces-aurastack-ai-super-agent-the-worlds-first.html?utm_source=openai" TargetMode="External" /><Relationship Type="http://schemas.openxmlformats.org/officeDocument/2006/relationships/hyperlink" Id="rId15" Target="https://www.cadence.com/en_US/home/company/newsroom/press-releases/pr/2026/cadence-unveils-industrys-first-fully-autonomous-virtual.html?utm_source=openai" TargetMode="External" /><Relationship Type="http://schemas.openxmlformats.org/officeDocument/2006/relationships/hyperlink" Id="rId10" Target="https://www.metatrader.com/en/news/zacks/1901196-cadence-design-to-release-q2-earnings-here-s-what-to?utm_source=openai" TargetMode="External" /><Relationship Type="http://schemas.openxmlformats.org/officeDocument/2006/relationships/hyperlink" Id="rId11" Target="https://www.sec.gov/Archives/edgar/data/813672/000081367226000044/cfocommentary04272026ex9902.htm?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2026-07-27T00:09:01Z</dcterms:created>
  <dcterms:modified xsi:type="dcterms:W3CDTF">2026-07-27T00:09:01Z</dcterms:modified>
</cp:coreProperties>
</file>

<file path=docProps/custom.xml><?xml version="1.0" encoding="utf-8"?>
<Properties xmlns="http://schemas.openxmlformats.org/officeDocument/2006/custom-properties" xmlns:vt="http://schemas.openxmlformats.org/officeDocument/2006/docPropsVTypes"/>
</file>