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dns-earnings-predictions--2026-07-27"/>
    <w:p>
      <w:pPr>
        <w:pStyle w:val="Heading1"/>
      </w:pPr>
      <w:r>
        <w:t xml:space="preserve">CDNS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~$1.605B vs. cons $1.580B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~$2.11 vs. cons $2.05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non-GAAP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~45.7% vs. cons 45.1%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~$6.240B vs. cons $6.200B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~$7.98 vs. cons $7.92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~$1.505B vs. cons $1.520B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+6.0% (FOLLOW-THROUGH)</w:t>
            </w:r>
          </w:p>
        </w:tc>
        <w:tc>
          <w:tcPr/>
          <w:p>
            <w:pPr>
              <w:pStyle w:val="Compact"/>
            </w:pPr>
            <w:r>
              <w:t xml:space="preserve">Day-1 residual ~4.5% versus a 0.0% beta-adjusted S&amp;P 500 baseline should extend to ~6.0% cumulatively over five days: a FY26 revenue/EPS raise, rather than the Q2 beat alone, supports positive out-period estimate revisions despite a seasonally softer Q3 revenue outlook.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2026-07-27T00:07:42Z</dcterms:created>
  <dcterms:modified xsi:type="dcterms:W3CDTF">2026-07-27T00:07:42Z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