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b0db615ef8e44000a22d7866367aa3f06ae9dc4"/>
    <w:p>
      <w:pPr>
        <w:pStyle w:val="Heading1"/>
      </w:pPr>
      <w:r>
        <w:t xml:space="preserve">Cadence Design Systems (CDNS) — 2Q26 Earnings Preview</w:t>
      </w:r>
    </w:p>
    <w:p>
      <w:pPr>
        <w:pStyle w:val="FirstParagraph"/>
      </w:pPr>
      <w:r>
        <w:rPr>
          <w:b/>
          <w:bCs/>
        </w:rPr>
        <w:t xml:space="preserve">Event:</w:t>
      </w:r>
      <w:r>
        <w:t xml:space="preserve"> </w:t>
      </w:r>
      <w:r>
        <w:t xml:space="preserve">2Q26 earnings call,</w:t>
      </w:r>
      <w:r>
        <w:t xml:space="preserve"> </w:t>
      </w:r>
      <w:r>
        <w:rPr>
          <w:b/>
          <w:bCs/>
        </w:rPr>
        <w:t xml:space="preserve">Monday, July 27, 2026</w:t>
      </w:r>
      <w:r>
        <w:br/>
      </w:r>
      <w:r>
        <w:rPr>
          <w:b/>
          <w:bCs/>
        </w:rPr>
        <w:t xml:space="preserve">Core setup:</w:t>
      </w:r>
      <w:r>
        <w:t xml:space="preserve"> </w:t>
      </w:r>
      <w:r>
        <w:t xml:space="preserve">Cadence enters the print with strong fundamental momentum, a recently raised full-year outlook, and a still-early AI monetization narrative. The principal debate is unlikely to be whether Cadence meets its explicit Q2 guide; it is whether Q1’s record bookings and broad demand justify a further lift to the second-half and full-year outlook.</w:t>
      </w:r>
    </w:p>
    <w:bookmarkStart w:id="9" w:name="what-cadence-has-guided-to"/>
    <w:p>
      <w:pPr>
        <w:pStyle w:val="Heading2"/>
      </w:pPr>
      <w:r>
        <w:t xml:space="preserve">What Cadence has guided to</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2Q26 company outlook</w:t>
            </w:r>
          </w:p>
        </w:tc>
        <w:tc>
          <w:tcPr/>
          <w:p>
            <w:pPr>
              <w:pStyle w:val="Compact"/>
              <w:jc w:val="right"/>
            </w:pPr>
            <w:r>
              <w:t xml:space="preserve">Low</w:t>
            </w:r>
          </w:p>
        </w:tc>
        <w:tc>
          <w:tcPr/>
          <w:p>
            <w:pPr>
              <w:pStyle w:val="Compact"/>
              <w:jc w:val="right"/>
            </w:pPr>
            <w:r>
              <w:t xml:space="preserve">Midpoint</w:t>
            </w:r>
          </w:p>
        </w:tc>
        <w:tc>
          <w:tcPr/>
          <w:p>
            <w:pPr>
              <w:pStyle w:val="Compact"/>
              <w:jc w:val="right"/>
            </w:pPr>
            <w:r>
              <w:t xml:space="preserve">High</w:t>
            </w:r>
          </w:p>
        </w:tc>
      </w:tr>
      <w:tr>
        <w:tc>
          <w:tcPr/>
          <w:p>
            <w:pPr>
              <w:pStyle w:val="Compact"/>
            </w:pPr>
            <w:r>
              <w:t xml:space="preserve">Revenue</w:t>
            </w:r>
          </w:p>
        </w:tc>
        <w:tc>
          <w:tcPr/>
          <w:p>
            <w:pPr>
              <w:pStyle w:val="Compact"/>
              <w:jc w:val="right"/>
            </w:pPr>
            <w:r>
              <w:t xml:space="preserve">$1.555B</w:t>
            </w:r>
          </w:p>
        </w:tc>
        <w:tc>
          <w:tcPr/>
          <w:p>
            <w:pPr>
              <w:pStyle w:val="Compact"/>
              <w:jc w:val="right"/>
            </w:pPr>
            <w:r>
              <w:rPr>
                <w:b/>
                <w:bCs/>
              </w:rPr>
              <w:t xml:space="preserve">$1.575B</w:t>
            </w:r>
          </w:p>
        </w:tc>
        <w:tc>
          <w:tcPr/>
          <w:p>
            <w:pPr>
              <w:pStyle w:val="Compact"/>
              <w:jc w:val="right"/>
            </w:pPr>
            <w:r>
              <w:t xml:space="preserve">$1.595B</w:t>
            </w:r>
          </w:p>
        </w:tc>
      </w:tr>
      <w:tr>
        <w:tc>
          <w:tcPr/>
          <w:p>
            <w:pPr>
              <w:pStyle w:val="Compact"/>
            </w:pPr>
            <w:r>
              <w:t xml:space="preserve">GAAP operating margin</w:t>
            </w:r>
          </w:p>
        </w:tc>
        <w:tc>
          <w:tcPr/>
          <w:p>
            <w:pPr>
              <w:pStyle w:val="Compact"/>
              <w:jc w:val="right"/>
            </w:pPr>
            <w:r>
              <w:t xml:space="preserve">28.5%</w:t>
            </w:r>
          </w:p>
        </w:tc>
        <w:tc>
          <w:tcPr/>
          <w:p>
            <w:pPr>
              <w:pStyle w:val="Compact"/>
              <w:jc w:val="right"/>
            </w:pPr>
            <w:r>
              <w:t xml:space="preserve">29.0%</w:t>
            </w:r>
          </w:p>
        </w:tc>
        <w:tc>
          <w:tcPr/>
          <w:p>
            <w:pPr>
              <w:pStyle w:val="Compact"/>
              <w:jc w:val="right"/>
            </w:pPr>
            <w:r>
              <w:t xml:space="preserve">29.5%</w:t>
            </w:r>
          </w:p>
        </w:tc>
      </w:tr>
      <w:tr>
        <w:tc>
          <w:tcPr/>
          <w:p>
            <w:pPr>
              <w:pStyle w:val="Compact"/>
            </w:pPr>
            <w:r>
              <w:t xml:space="preserve">Non-GAAP operating margin</w:t>
            </w:r>
          </w:p>
        </w:tc>
        <w:tc>
          <w:tcPr/>
          <w:p>
            <w:pPr>
              <w:pStyle w:val="Compact"/>
              <w:jc w:val="right"/>
            </w:pPr>
            <w:r>
              <w:t xml:space="preserve">44.5%</w:t>
            </w:r>
          </w:p>
        </w:tc>
        <w:tc>
          <w:tcPr/>
          <w:p>
            <w:pPr>
              <w:pStyle w:val="Compact"/>
              <w:jc w:val="right"/>
            </w:pPr>
            <w:r>
              <w:rPr>
                <w:b/>
                <w:bCs/>
              </w:rPr>
              <w:t xml:space="preserve">45.0%</w:t>
            </w:r>
          </w:p>
        </w:tc>
        <w:tc>
          <w:tcPr/>
          <w:p>
            <w:pPr>
              <w:pStyle w:val="Compact"/>
              <w:jc w:val="right"/>
            </w:pPr>
            <w:r>
              <w:t xml:space="preserve">45.5%</w:t>
            </w:r>
          </w:p>
        </w:tc>
      </w:tr>
      <w:tr>
        <w:tc>
          <w:tcPr/>
          <w:p>
            <w:pPr>
              <w:pStyle w:val="Compact"/>
            </w:pPr>
            <w:r>
              <w:t xml:space="preserve">GAAP EPS</w:t>
            </w:r>
          </w:p>
        </w:tc>
        <w:tc>
          <w:tcPr/>
          <w:p>
            <w:pPr>
              <w:pStyle w:val="Compact"/>
              <w:jc w:val="right"/>
            </w:pPr>
            <w:r>
              <w:t xml:space="preserve">$1.07</w:t>
            </w:r>
          </w:p>
        </w:tc>
        <w:tc>
          <w:tcPr/>
          <w:p>
            <w:pPr>
              <w:pStyle w:val="Compact"/>
              <w:jc w:val="right"/>
            </w:pPr>
            <w:r>
              <w:t xml:space="preserve">$1.10</w:t>
            </w:r>
          </w:p>
        </w:tc>
        <w:tc>
          <w:tcPr/>
          <w:p>
            <w:pPr>
              <w:pStyle w:val="Compact"/>
              <w:jc w:val="right"/>
            </w:pPr>
            <w:r>
              <w:t xml:space="preserve">$1.13</w:t>
            </w:r>
          </w:p>
        </w:tc>
      </w:tr>
      <w:tr>
        <w:tc>
          <w:tcPr/>
          <w:p>
            <w:pPr>
              <w:pStyle w:val="Compact"/>
            </w:pPr>
            <w:r>
              <w:t xml:space="preserve">Non-GAAP EPS</w:t>
            </w:r>
          </w:p>
        </w:tc>
        <w:tc>
          <w:tcPr/>
          <w:p>
            <w:pPr>
              <w:pStyle w:val="Compact"/>
              <w:jc w:val="right"/>
            </w:pPr>
            <w:r>
              <w:t xml:space="preserve">$2.02</w:t>
            </w:r>
          </w:p>
        </w:tc>
        <w:tc>
          <w:tcPr/>
          <w:p>
            <w:pPr>
              <w:pStyle w:val="Compact"/>
              <w:jc w:val="right"/>
            </w:pPr>
            <w:r>
              <w:rPr>
                <w:b/>
                <w:bCs/>
              </w:rPr>
              <w:t xml:space="preserve">$2.05</w:t>
            </w:r>
          </w:p>
        </w:tc>
        <w:tc>
          <w:tcPr/>
          <w:p>
            <w:pPr>
              <w:pStyle w:val="Compact"/>
              <w:jc w:val="right"/>
            </w:pPr>
            <w:r>
              <w:t xml:space="preserve">$2.08</w:t>
            </w:r>
          </w:p>
        </w:tc>
      </w:tr>
    </w:tbl>
    <w:p>
      <w:pPr>
        <w:pStyle w:val="BodyText"/>
      </w:pPr>
      <w:r>
        <w:t xml:space="preserve">At the midpoint, Q2 guidance implies approximately</w:t>
      </w:r>
      <w:r>
        <w:t xml:space="preserve"> </w:t>
      </w:r>
      <w:r>
        <w:rPr>
          <w:b/>
          <w:bCs/>
        </w:rPr>
        <w:t xml:space="preserve">24% revenue growth</w:t>
      </w:r>
      <w:r>
        <w:t xml:space="preserve"> </w:t>
      </w:r>
      <w:r>
        <w:t xml:space="preserve">and</w:t>
      </w:r>
      <w:r>
        <w:t xml:space="preserve"> </w:t>
      </w:r>
      <w:r>
        <w:rPr>
          <w:b/>
          <w:bCs/>
        </w:rPr>
        <w:t xml:space="preserve">24% non-GAAP EPS growth</w:t>
      </w:r>
      <w:r>
        <w:t xml:space="preserve"> </w:t>
      </w:r>
      <w:r>
        <w:t xml:space="preserve">versus 2Q25.</w:t>
      </w:r>
    </w:p>
    <w:p>
      <w:pPr>
        <w:pStyle w:val="BodyText"/>
      </w:pPr>
      <w:r>
        <w:t xml:space="preserve">For FY26, management’s current outlook is:</w:t>
      </w:r>
    </w:p>
    <w:p>
      <w:pPr>
        <w:pStyle w:val="Compact"/>
        <w:numPr>
          <w:ilvl w:val="0"/>
          <w:numId w:val="1001"/>
        </w:numPr>
      </w:pPr>
      <w:r>
        <w:rPr>
          <w:b/>
          <w:bCs/>
        </w:rPr>
        <w:t xml:space="preserve">Revenue:</w:t>
      </w:r>
      <w:r>
        <w:t xml:space="preserve"> </w:t>
      </w:r>
      <m:oMath>
        <m:r>
          <m:t>6.125</m:t>
        </m:r>
        <m:r>
          <m:t>B</m:t>
        </m:r>
        <m:r>
          <m:rPr>
            <m:sty m:val="p"/>
          </m:rPr>
          <m:t>–</m:t>
        </m:r>
      </m:oMath>
      <w:r>
        <w:t xml:space="preserve">6.225B, or roughly</w:t>
      </w:r>
      <w:r>
        <w:t xml:space="preserve"> </w:t>
      </w:r>
      <w:r>
        <w:rPr>
          <w:b/>
          <w:bCs/>
        </w:rPr>
        <w:t xml:space="preserve">17% growth</w:t>
      </w:r>
      <w:r>
        <w:t xml:space="preserve"> </w:t>
      </w:r>
      <w:r>
        <w:t xml:space="preserve">at the midpoint.</w:t>
      </w:r>
    </w:p>
    <w:p>
      <w:pPr>
        <w:pStyle w:val="Compact"/>
        <w:numPr>
          <w:ilvl w:val="0"/>
          <w:numId w:val="1001"/>
        </w:numPr>
      </w:pPr>
      <w:r>
        <w:rPr>
          <w:b/>
          <w:bCs/>
        </w:rPr>
        <w:t xml:space="preserve">Non-GAAP operating margin:</w:t>
      </w:r>
      <w:r>
        <w:t xml:space="preserve"> </w:t>
      </w:r>
      <w:r>
        <w:t xml:space="preserve">43.5%–44.5%.</w:t>
      </w:r>
    </w:p>
    <w:p>
      <w:pPr>
        <w:pStyle w:val="Compact"/>
        <w:numPr>
          <w:ilvl w:val="0"/>
          <w:numId w:val="1001"/>
        </w:numPr>
      </w:pPr>
      <w:r>
        <w:rPr>
          <w:b/>
          <w:bCs/>
        </w:rPr>
        <w:t xml:space="preserve">Non-GAAP EPS:</w:t>
      </w:r>
      <w:r>
        <w:t xml:space="preserve"> </w:t>
      </w:r>
      <m:oMath>
        <m:r>
          <m:t>7.85</m:t>
        </m:r>
        <m:r>
          <m:rPr>
            <m:sty m:val="p"/>
          </m:rPr>
          <m:t>–</m:t>
        </m:r>
      </m:oMath>
      <w:r>
        <w:t xml:space="preserve">7.95.</w:t>
      </w:r>
    </w:p>
    <w:p>
      <w:pPr>
        <w:pStyle w:val="Compact"/>
        <w:numPr>
          <w:ilvl w:val="0"/>
          <w:numId w:val="1001"/>
        </w:numPr>
      </w:pPr>
      <w:r>
        <w:rPr>
          <w:b/>
          <w:bCs/>
        </w:rPr>
        <w:t xml:space="preserve">Operating cash flow:</w:t>
      </w:r>
      <w:r>
        <w:t xml:space="preserve"> </w:t>
      </w:r>
      <m:oMath>
        <m:r>
          <m:t>1.875</m:t>
        </m:r>
        <m:r>
          <m:t>B</m:t>
        </m:r>
        <m:r>
          <m:rPr>
            <m:sty m:val="p"/>
          </m:rPr>
          <m:t>–</m:t>
        </m:r>
      </m:oMath>
      <w:r>
        <w:t xml:space="preserve">1.975B.</w:t>
      </w:r>
    </w:p>
    <w:p>
      <w:pPr>
        <w:pStyle w:val="FirstParagraph"/>
      </w:pPr>
      <w:r>
        <w:t xml:space="preserve">The key nuance is that Cadence already raised organic FY26 revenue guidance in April, despite incorporating a meaningful near-term margin and EPS drag from the Hexagon Design &amp; Engineering acquisition. That sets a higher bar for another raise only one quarter later.</w:t>
      </w:r>
    </w:p>
    <w:bookmarkEnd w:id="9"/>
    <w:bookmarkStart w:id="13" w:name="why-the-setup-is-constructive"/>
    <w:p>
      <w:pPr>
        <w:pStyle w:val="Heading2"/>
      </w:pPr>
      <w:r>
        <w:t xml:space="preserve">Why the setup is constructive</w:t>
      </w:r>
    </w:p>
    <w:bookmarkStart w:id="10" w:name="X4b687a2ef0aecd40a09c54806596ef61ba1a863"/>
    <w:p>
      <w:pPr>
        <w:pStyle w:val="Heading3"/>
      </w:pPr>
      <w:r>
        <w:t xml:space="preserve">1. Q1 bookings and backlog were exceptionally strong</w:t>
      </w:r>
    </w:p>
    <w:p>
      <w:pPr>
        <w:pStyle w:val="FirstParagraph"/>
      </w:pPr>
      <w:r>
        <w:t xml:space="preserve">Cadence began 2026 with</w:t>
      </w:r>
      <w:r>
        <w:t xml:space="preserve"> </w:t>
      </w:r>
      <w:r>
        <w:rPr>
          <w:b/>
          <w:bCs/>
        </w:rPr>
        <w:t xml:space="preserve">$1.474B of Q1 revenue</w:t>
      </w:r>
      <w:r>
        <w:t xml:space="preserve">, up 19% year over year, and a</w:t>
      </w:r>
      <w:r>
        <w:t xml:space="preserve"> </w:t>
      </w:r>
      <w:r>
        <w:rPr>
          <w:b/>
          <w:bCs/>
        </w:rPr>
        <w:t xml:space="preserve">record backlog of approximately $8.0B</w:t>
      </w:r>
      <w:r>
        <w:t xml:space="preserve">, up from $7.8B at year-end 2025. Management described Q1 bookings as ahead of plan across all major business lines.</w:t>
      </w:r>
    </w:p>
    <w:p>
      <w:pPr>
        <w:pStyle w:val="BodyText"/>
      </w:pPr>
      <w:r>
        <w:t xml:space="preserve">That matters because Cadence has a highly recurring model—roughly 80% of annual revenue is recurring—and backlog is an important indicator of multi-year customer commitments. A strong Q2 print should therefore be accompanied by evidence that bookings, backlog, and add-on activity remain healthy—not just an in-quarter revenue beat.</w:t>
      </w:r>
    </w:p>
    <w:bookmarkEnd w:id="10"/>
    <w:bookmarkStart w:id="11" w:name="X103b351d618fab19b85c8fb69400595c4d6fa1e"/>
    <w:p>
      <w:pPr>
        <w:pStyle w:val="Heading3"/>
      </w:pPr>
      <w:r>
        <w:t xml:space="preserve">2. AI demand is broadening across the portfolio</w:t>
      </w:r>
    </w:p>
    <w:p>
      <w:pPr>
        <w:pStyle w:val="FirstParagraph"/>
      </w:pPr>
      <w:r>
        <w:t xml:space="preserve">Cadence’s AI opportunity has several layers:</w:t>
      </w:r>
    </w:p>
    <w:p>
      <w:pPr>
        <w:pStyle w:val="Compact"/>
        <w:numPr>
          <w:ilvl w:val="0"/>
          <w:numId w:val="1002"/>
        </w:numPr>
      </w:pPr>
      <w:r>
        <w:rPr>
          <w:b/>
          <w:bCs/>
        </w:rPr>
        <w:t xml:space="preserve">Core EDA:</w:t>
      </w:r>
      <w:r>
        <w:t xml:space="preserve"> </w:t>
      </w:r>
      <w:r>
        <w:t xml:space="preserve">AI/HPC chip development, digital implementation, verification, signoff, emulation, and prototyping.</w:t>
      </w:r>
    </w:p>
    <w:p>
      <w:pPr>
        <w:pStyle w:val="Compact"/>
        <w:numPr>
          <w:ilvl w:val="0"/>
          <w:numId w:val="1002"/>
        </w:numPr>
      </w:pPr>
      <w:r>
        <w:rPr>
          <w:b/>
          <w:bCs/>
        </w:rPr>
        <w:t xml:space="preserve">Semiconductor IP:</w:t>
      </w:r>
      <w:r>
        <w:t xml:space="preserve"> </w:t>
      </w:r>
      <w:r>
        <w:t xml:space="preserve">High-bandwidth memory, advanced interfaces, chiplets/UCIe, and leading-edge foundry-node content.</w:t>
      </w:r>
    </w:p>
    <w:p>
      <w:pPr>
        <w:pStyle w:val="Compact"/>
        <w:numPr>
          <w:ilvl w:val="0"/>
          <w:numId w:val="1002"/>
        </w:numPr>
      </w:pPr>
      <w:r>
        <w:rPr>
          <w:b/>
          <w:bCs/>
        </w:rPr>
        <w:t xml:space="preserve">System Design &amp; Analysis:</w:t>
      </w:r>
      <w:r>
        <w:t xml:space="preserve"> </w:t>
      </w:r>
      <w:r>
        <w:t xml:space="preserve">3D-IC, thermal, electromagnetic, multiphysics simulation, automotive, robotics, aerospace, and “physical AI.”</w:t>
      </w:r>
    </w:p>
    <w:p>
      <w:pPr>
        <w:pStyle w:val="FirstParagraph"/>
      </w:pPr>
      <w:r>
        <w:t xml:space="preserve">In Q1, management cited 18% growth in Core EDA, 22% growth in IP, and 18% growth in System Design &amp; Analysis. Hardware demand was particularly strong, with management calling Q1 its best hardware quarter ever, driven by AI/HPC customers as well as automotive and robotics demand.</w:t>
      </w:r>
    </w:p>
    <w:p>
      <w:pPr>
        <w:pStyle w:val="BodyText"/>
      </w:pPr>
      <w:r>
        <w:t xml:space="preserve">The important question for Q2 is whether this demand remains broad-based—or whether it is becoming concentrated in a few large AI-related hardware, IP, or advanced-node transactions.</w:t>
      </w:r>
    </w:p>
    <w:bookmarkEnd w:id="11"/>
    <w:bookmarkStart w:id="12" w:name="X587fe6e1de9a35e5bb910240845bc06a559c889"/>
    <w:p>
      <w:pPr>
        <w:pStyle w:val="Heading3"/>
      </w:pPr>
      <w:r>
        <w:t xml:space="preserve">3. Agentic AI could expand monetization, but it is not yet in guidance</w:t>
      </w:r>
    </w:p>
    <w:p>
      <w:pPr>
        <w:pStyle w:val="FirstParagraph"/>
      </w:pPr>
      <w:r>
        <w:t xml:space="preserve">Cadence’s strategic pitch has evolved from AI-enabled EDA tools to a broader</w:t>
      </w:r>
      <w:r>
        <w:t xml:space="preserve"> </w:t>
      </w:r>
      <w:r>
        <w:rPr>
          <w:b/>
          <w:bCs/>
        </w:rPr>
        <w:t xml:space="preserve">agentic design-flow</w:t>
      </w:r>
      <w:r>
        <w:t xml:space="preserve"> </w:t>
      </w:r>
      <w:r>
        <w:t xml:space="preserve">platform: ChipStack for RTL and verification, ViraStack for analog/custom design, InnoStack for digital implementation/signoff, and AgentStack as the orchestration framework.</w:t>
      </w:r>
    </w:p>
    <w:p>
      <w:pPr>
        <w:pStyle w:val="BodyText"/>
      </w:pPr>
      <w:r>
        <w:t xml:space="preserve">Management’s monetization thesis has two parts:</w:t>
      </w:r>
    </w:p>
    <w:p>
      <w:pPr>
        <w:pStyle w:val="Compact"/>
        <w:numPr>
          <w:ilvl w:val="0"/>
          <w:numId w:val="1003"/>
        </w:numPr>
      </w:pPr>
      <w:r>
        <w:rPr>
          <w:b/>
          <w:bCs/>
        </w:rPr>
        <w:t xml:space="preserve">New revenue categories:</w:t>
      </w:r>
      <w:r>
        <w:t xml:space="preserve"> </w:t>
      </w:r>
      <w:r>
        <w:t xml:space="preserve">subscription plus consumption pricing for agentic workflows that automate work previously performed manually by customers.</w:t>
      </w:r>
    </w:p>
    <w:p>
      <w:pPr>
        <w:pStyle w:val="Compact"/>
        <w:numPr>
          <w:ilvl w:val="0"/>
          <w:numId w:val="1003"/>
        </w:numPr>
      </w:pPr>
      <w:r>
        <w:rPr>
          <w:b/>
          <w:bCs/>
        </w:rPr>
        <w:t xml:space="preserve">Higher base-tool consumption:</w:t>
      </w:r>
      <w:r>
        <w:t xml:space="preserve"> </w:t>
      </w:r>
      <w:r>
        <w:t xml:space="preserve">agents run more design iterations, verification, and optimization workloads than a human engineer could practically run.</w:t>
      </w:r>
    </w:p>
    <w:p>
      <w:pPr>
        <w:pStyle w:val="FirstParagraph"/>
      </w:pPr>
      <w:r>
        <w:t xml:space="preserve">This is strategically attractive because it can raise Cadence’s value capture without displacing its core engines. But management explicitly did</w:t>
      </w:r>
      <w:r>
        <w:t xml:space="preserve"> </w:t>
      </w:r>
      <w:r>
        <w:rPr>
          <w:b/>
          <w:bCs/>
        </w:rPr>
        <w:t xml:space="preserve">not</w:t>
      </w:r>
      <w:r>
        <w:t xml:space="preserve"> </w:t>
      </w:r>
      <w:r>
        <w:t xml:space="preserve">embed a step-function contribution from agentic AI in its FY26 guide. Investors should look for tangible indicators: paid deployments, add-on bookings, usage-based revenue, renewals incorporating agentic products, or a clearer timetable for material financial contribution.</w:t>
      </w:r>
    </w:p>
    <w:bookmarkEnd w:id="12"/>
    <w:bookmarkEnd w:id="13"/>
    <w:bookmarkStart w:id="14" w:name="Xbc9eede00a0ec3b2f85fa52f83079e8038594eb"/>
    <w:p>
      <w:pPr>
        <w:pStyle w:val="Heading2"/>
      </w:pPr>
      <w:r>
        <w:t xml:space="preserve">The major swing factor: Can Cadence raise FY26 again?</w:t>
      </w:r>
    </w:p>
    <w:p>
      <w:pPr>
        <w:pStyle w:val="FirstParagraph"/>
      </w:pPr>
      <w:r>
        <w:t xml:space="preserve">Cadence’s April guide implied a very strong first half but a prudent second half. Management said it wanted more visibility before updating the back half, despite Q1’s strength.</w:t>
      </w:r>
    </w:p>
    <w:p>
      <w:pPr>
        <w:pStyle w:val="BodyText"/>
      </w:pPr>
      <w:r>
        <w:t xml:space="preserve">Therefore, the most consequential outcome on July 27 is likely to be the guide:</w:t>
      </w:r>
    </w:p>
    <w:p>
      <w:pPr>
        <w:pStyle w:val="Compact"/>
        <w:numPr>
          <w:ilvl w:val="0"/>
          <w:numId w:val="1004"/>
        </w:numPr>
      </w:pPr>
      <w:r>
        <w:rPr>
          <w:b/>
          <w:bCs/>
        </w:rPr>
        <w:t xml:space="preserve">Bullish outcome:</w:t>
      </w:r>
      <w:r>
        <w:t xml:space="preserve"> </w:t>
      </w:r>
      <w:r>
        <w:t xml:space="preserve">Q2 revenue/EPS above the range, continued record or near-record bookings, and a FY26 revenue and/or EPS increase. This would reinforce the view that Q1’s strength was not merely timing-driven.</w:t>
      </w:r>
    </w:p>
    <w:p>
      <w:pPr>
        <w:pStyle w:val="Compact"/>
        <w:numPr>
          <w:ilvl w:val="0"/>
          <w:numId w:val="1004"/>
        </w:numPr>
      </w:pPr>
      <w:r>
        <w:rPr>
          <w:b/>
          <w:bCs/>
        </w:rPr>
        <w:t xml:space="preserve">Acceptable outcome:</w:t>
      </w:r>
      <w:r>
        <w:t xml:space="preserve"> </w:t>
      </w:r>
      <w:r>
        <w:t xml:space="preserve">A Q2 beat with FY26 reiterated, coupled with comments that management remains prudent on timing, exports, customer deployment schedules, or Hexagon integration.</w:t>
      </w:r>
    </w:p>
    <w:p>
      <w:pPr>
        <w:pStyle w:val="Compact"/>
        <w:numPr>
          <w:ilvl w:val="0"/>
          <w:numId w:val="1004"/>
        </w:numPr>
      </w:pPr>
      <w:r>
        <w:rPr>
          <w:b/>
          <w:bCs/>
        </w:rPr>
        <w:t xml:space="preserve">Disappointing outcome:</w:t>
      </w:r>
      <w:r>
        <w:t xml:space="preserve"> </w:t>
      </w:r>
      <w:r>
        <w:t xml:space="preserve">A modest Q2 beat but no evidence of second-half acceleration, weaker-than-expected bookings/backlog commentary, or a reduction in margin/cash-flow expectations tied to integration, hardware mix, or acquisition costs.</w:t>
      </w:r>
    </w:p>
    <w:p>
      <w:pPr>
        <w:pStyle w:val="FirstParagraph"/>
      </w:pPr>
      <w:r>
        <w:t xml:space="preserve">The market may be more sensitive to the</w:t>
      </w:r>
      <w:r>
        <w:t xml:space="preserve"> </w:t>
      </w:r>
      <w:r>
        <w:rPr>
          <w:b/>
          <w:bCs/>
        </w:rPr>
        <w:t xml:space="preserve">quality of the full-year outlook</w:t>
      </w:r>
      <w:r>
        <w:t xml:space="preserve"> </w:t>
      </w:r>
      <w:r>
        <w:t xml:space="preserve">than to a small Q2 EPS variance.</w:t>
      </w:r>
    </w:p>
    <w:bookmarkEnd w:id="14"/>
    <w:bookmarkStart w:id="18" w:name="segment-issues-to-watch"/>
    <w:p>
      <w:pPr>
        <w:pStyle w:val="Heading2"/>
      </w:pPr>
      <w:r>
        <w:t xml:space="preserve">Segment issues to watch</w:t>
      </w:r>
    </w:p>
    <w:bookmarkStart w:id="15" w:name="X05ac332b19f3c64cb66b09c412d7b41c1a9d194"/>
    <w:p>
      <w:pPr>
        <w:pStyle w:val="Heading3"/>
      </w:pPr>
      <w:r>
        <w:t xml:space="preserve">Core EDA and hardware: the largest near-term earnings driver</w:t>
      </w:r>
    </w:p>
    <w:p>
      <w:pPr>
        <w:pStyle w:val="FirstParagraph"/>
      </w:pPr>
      <w:r>
        <w:t xml:space="preserve">Core EDA represented</w:t>
      </w:r>
      <w:r>
        <w:t xml:space="preserve"> </w:t>
      </w:r>
      <w:r>
        <w:rPr>
          <w:b/>
          <w:bCs/>
        </w:rPr>
        <w:t xml:space="preserve">71% of Q1 revenue</w:t>
      </w:r>
      <w:r>
        <w:t xml:space="preserve">, and remains the central profit engine. Key areas to monitor:</w:t>
      </w:r>
    </w:p>
    <w:p>
      <w:pPr>
        <w:pStyle w:val="Compact"/>
        <w:numPr>
          <w:ilvl w:val="0"/>
          <w:numId w:val="1005"/>
        </w:numPr>
      </w:pPr>
      <w:r>
        <w:t xml:space="preserve">AI/HPC customer demand and advanced-node design activity.</w:t>
      </w:r>
    </w:p>
    <w:p>
      <w:pPr>
        <w:pStyle w:val="Compact"/>
        <w:numPr>
          <w:ilvl w:val="0"/>
          <w:numId w:val="1005"/>
        </w:numPr>
      </w:pPr>
      <w:r>
        <w:t xml:space="preserve">Emulation and prototyping demand, especially Palladium Z3 and Protium.</w:t>
      </w:r>
    </w:p>
    <w:p>
      <w:pPr>
        <w:pStyle w:val="Compact"/>
        <w:numPr>
          <w:ilvl w:val="0"/>
          <w:numId w:val="1005"/>
        </w:numPr>
      </w:pPr>
      <w:r>
        <w:t xml:space="preserve">Competitive wins in digital implementation and signoff.</w:t>
      </w:r>
    </w:p>
    <w:p>
      <w:pPr>
        <w:pStyle w:val="Compact"/>
        <w:numPr>
          <w:ilvl w:val="0"/>
          <w:numId w:val="1005"/>
        </w:numPr>
      </w:pPr>
      <w:r>
        <w:t xml:space="preserve">Whether higher hardware revenue creates any near-term gross-margin variability.</w:t>
      </w:r>
    </w:p>
    <w:p>
      <w:pPr>
        <w:pStyle w:val="FirstParagraph"/>
      </w:pPr>
      <w:r>
        <w:t xml:space="preserve">Hardware is favorable for growth and strategic customer engagement, but it is less recurring and generally carries a different margin profile than software. A strong hardware quarter can boost revenue while making mix and cash-conversion commentary more important.</w:t>
      </w:r>
    </w:p>
    <w:bookmarkEnd w:id="15"/>
    <w:bookmarkStart w:id="16" w:name="X2116634664d6a67e1ad2acd2c6af5d3c88deef1"/>
    <w:p>
      <w:pPr>
        <w:pStyle w:val="Heading3"/>
      </w:pPr>
      <w:r>
        <w:t xml:space="preserve">Semiconductor IP: an increasingly important growth vector</w:t>
      </w:r>
    </w:p>
    <w:p>
      <w:pPr>
        <w:pStyle w:val="FirstParagraph"/>
      </w:pPr>
      <w:r>
        <w:t xml:space="preserve">IP was 14% of Q1 revenue but grew 22% year over year. Management has emphasized three drivers:</w:t>
      </w:r>
    </w:p>
    <w:p>
      <w:pPr>
        <w:pStyle w:val="Compact"/>
        <w:numPr>
          <w:ilvl w:val="0"/>
          <w:numId w:val="1006"/>
        </w:numPr>
      </w:pPr>
      <w:r>
        <w:t xml:space="preserve">Better power, performance, and area competitiveness;</w:t>
      </w:r>
    </w:p>
    <w:p>
      <w:pPr>
        <w:pStyle w:val="Compact"/>
        <w:numPr>
          <w:ilvl w:val="0"/>
          <w:numId w:val="1006"/>
        </w:numPr>
      </w:pPr>
      <w:r>
        <w:t xml:space="preserve">Broader IP content, including HBM and UCIe;</w:t>
      </w:r>
    </w:p>
    <w:p>
      <w:pPr>
        <w:pStyle w:val="Compact"/>
        <w:numPr>
          <w:ilvl w:val="0"/>
          <w:numId w:val="1006"/>
        </w:numPr>
      </w:pPr>
      <w:r>
        <w:t xml:space="preserve">More advanced-node activity across TSMC, Samsung, Intel, Rapidus, and other foundries.</w:t>
      </w:r>
    </w:p>
    <w:p>
      <w:pPr>
        <w:pStyle w:val="FirstParagraph"/>
      </w:pPr>
      <w:r>
        <w:t xml:space="preserve">Cadence also cited a record IP arrangement with a leading global foundry for a 2-nanometer node. Investors should listen for evidence that this momentum is translating into a durable multi-year growth profile rather than a series of discrete large deals.</w:t>
      </w:r>
    </w:p>
    <w:bookmarkEnd w:id="16"/>
    <w:bookmarkStart w:id="17" w:name="X9b1ebbbf1b8bb855d1100ba62742da196b71579"/>
    <w:p>
      <w:pPr>
        <w:pStyle w:val="Heading3"/>
      </w:pPr>
      <w:r>
        <w:t xml:space="preserve">System Design &amp; Analysis: strategic upside, near-term dilution</w:t>
      </w:r>
    </w:p>
    <w:p>
      <w:pPr>
        <w:pStyle w:val="FirstParagraph"/>
      </w:pPr>
      <w:r>
        <w:t xml:space="preserve">The February acquisition of Hexagon’s Design &amp; Engineering business expanded Cadence’s multiphysics and physical-AI capabilities. The acquisition is expected to contribute approximately</w:t>
      </w:r>
      <w:r>
        <w:t xml:space="preserve"> </w:t>
      </w:r>
      <m:oMath>
        <m:r>
          <m:t>160</m:t>
        </m:r>
        <m:r>
          <m:t>M</m:t>
        </m:r>
        <m:r>
          <m:t>o</m:t>
        </m:r>
        <m:r>
          <m:t>f</m:t>
        </m:r>
        <m:r>
          <m:t>F</m:t>
        </m:r>
        <m:r>
          <m:t>Y</m:t>
        </m:r>
        <m:r>
          <m:t>26</m:t>
        </m:r>
        <m:r>
          <m:t>r</m:t>
        </m:r>
        <m:r>
          <m:t>e</m:t>
        </m:r>
        <m:r>
          <m:t>v</m:t>
        </m:r>
        <m:r>
          <m:t>e</m:t>
        </m:r>
        <m:r>
          <m:t>n</m:t>
        </m:r>
        <m:r>
          <m:t>u</m:t>
        </m:r>
        <m:r>
          <m:t>e</m:t>
        </m:r>
        <m:r>
          <m:rPr>
            <m:sty m:val="p"/>
          </m:rPr>
          <m:t>*</m:t>
        </m:r>
        <m:r>
          <m:rPr>
            <m:sty m:val="p"/>
          </m:rPr>
          <m:t>*</m:t>
        </m:r>
        <m:r>
          <m:rPr>
            <m:sty m:val="p"/>
          </m:rPr>
          <m:t>,</m:t>
        </m:r>
        <m:r>
          <m:t>b</m:t>
        </m:r>
        <m:r>
          <m:t>u</m:t>
        </m:r>
        <m:r>
          <m:t>t</m:t>
        </m:r>
        <m:r>
          <m:t>i</m:t>
        </m:r>
        <m:r>
          <m:t>t</m:t>
        </m:r>
        <m:r>
          <m:t>i</m:t>
        </m:r>
        <m:r>
          <m:t>s</m:t>
        </m:r>
        <m:r>
          <m:t>a</m:t>
        </m:r>
        <m:r>
          <m:t>l</m:t>
        </m:r>
        <m:r>
          <m:t>s</m:t>
        </m:r>
        <m:r>
          <m:t>o</m:t>
        </m:r>
        <m:r>
          <m:t>e</m:t>
        </m:r>
        <m:r>
          <m:t>x</m:t>
        </m:r>
        <m:r>
          <m:t>p</m:t>
        </m:r>
        <m:r>
          <m:t>e</m:t>
        </m:r>
        <m:r>
          <m:t>c</m:t>
        </m:r>
        <m:r>
          <m:t>t</m:t>
        </m:r>
        <m:r>
          <m:t>e</m:t>
        </m:r>
        <m:r>
          <m:t>d</m:t>
        </m:r>
        <m:r>
          <m:t>t</m:t>
        </m:r>
        <m:r>
          <m:t>o</m:t>
        </m:r>
        <m:r>
          <m:t>b</m:t>
        </m:r>
        <m:r>
          <m:t>e</m:t>
        </m:r>
        <m:r>
          <m:t>d</m:t>
        </m:r>
        <m:r>
          <m:t>i</m:t>
        </m:r>
        <m:r>
          <m:t>l</m:t>
        </m:r>
        <m:r>
          <m:t>u</m:t>
        </m:r>
        <m:r>
          <m:t>t</m:t>
        </m:r>
        <m:r>
          <m:t>i</m:t>
        </m:r>
        <m:r>
          <m:t>v</m:t>
        </m:r>
        <m:r>
          <m:t>e</m:t>
        </m:r>
        <m:r>
          <m:t>b</m:t>
        </m:r>
        <m:r>
          <m:t>y</m:t>
        </m:r>
        <m:r>
          <m:t>a</m:t>
        </m:r>
        <m:r>
          <m:t>b</m:t>
        </m:r>
        <m:r>
          <m:t>o</m:t>
        </m:r>
        <m:r>
          <m:t>u</m:t>
        </m:r>
        <m:r>
          <m:t>t</m:t>
        </m:r>
        <m:r>
          <m:rPr>
            <m:sty m:val="p"/>
          </m:rPr>
          <m:t>*</m:t>
        </m:r>
        <m:r>
          <m:rPr>
            <m:sty m:val="p"/>
          </m:rPr>
          <m:t>*</m:t>
        </m:r>
      </m:oMath>
      <w:r>
        <w:rPr>
          <w:b/>
          <w:bCs/>
        </w:rPr>
        <w:t xml:space="preserve">0.28 to FY26 EPS</w:t>
      </w:r>
      <w:r>
        <w:t xml:space="preserve"> </w:t>
      </w:r>
      <w:r>
        <w:t xml:space="preserve">and to pressure operating margin during the integration year.</w:t>
      </w:r>
    </w:p>
    <w:p>
      <w:pPr>
        <w:pStyle w:val="BodyText"/>
      </w:pPr>
      <w:r>
        <w:t xml:space="preserve">The trade-off is clear:</w:t>
      </w:r>
    </w:p>
    <w:p>
      <w:pPr>
        <w:pStyle w:val="Compact"/>
        <w:numPr>
          <w:ilvl w:val="0"/>
          <w:numId w:val="1007"/>
        </w:numPr>
      </w:pPr>
      <w:r>
        <w:rPr>
          <w:b/>
          <w:bCs/>
        </w:rPr>
        <w:t xml:space="preserve">Near term:</w:t>
      </w:r>
      <w:r>
        <w:t xml:space="preserve"> </w:t>
      </w:r>
      <w:r>
        <w:t xml:space="preserve">higher amortization, integration expense, interest expense, and lower GAAP/non-GAAP margin.</w:t>
      </w:r>
    </w:p>
    <w:p>
      <w:pPr>
        <w:pStyle w:val="Compact"/>
        <w:numPr>
          <w:ilvl w:val="0"/>
          <w:numId w:val="1007"/>
        </w:numPr>
      </w:pPr>
      <w:r>
        <w:rPr>
          <w:b/>
          <w:bCs/>
        </w:rPr>
        <w:t xml:space="preserve">Long term:</w:t>
      </w:r>
      <w:r>
        <w:t xml:space="preserve"> </w:t>
      </w:r>
      <w:r>
        <w:t xml:space="preserve">a broader simulation platform spanning 3D-IC, automotive, robotics, aerospace, and physical AI—with management targeting accretion in 2027.</w:t>
      </w:r>
    </w:p>
    <w:p>
      <w:pPr>
        <w:pStyle w:val="FirstParagraph"/>
      </w:pPr>
      <w:r>
        <w:t xml:space="preserve">For Q2, investors should focus on integration progress, organic versus acquired SD&amp;A growth, cross-sell evidence, and the pace at which Cadence can improve the acquired business’s profitability.</w:t>
      </w:r>
    </w:p>
    <w:bookmarkEnd w:id="17"/>
    <w:bookmarkEnd w:id="18"/>
    <w:bookmarkStart w:id="19" w:name="financial-items-that-deserve-attention"/>
    <w:p>
      <w:pPr>
        <w:pStyle w:val="Heading2"/>
      </w:pPr>
      <w:r>
        <w:t xml:space="preserve">Financial items that deserve attention</w:t>
      </w:r>
    </w:p>
    <w:p>
      <w:pPr>
        <w:pStyle w:val="Compact"/>
        <w:numPr>
          <w:ilvl w:val="0"/>
          <w:numId w:val="1008"/>
        </w:numPr>
      </w:pPr>
      <w:r>
        <w:rPr>
          <w:b/>
          <w:bCs/>
        </w:rPr>
        <w:t xml:space="preserve">Margins:</w:t>
      </w:r>
      <w:r>
        <w:t xml:space="preserve"> </w:t>
      </w:r>
      <w:r>
        <w:t xml:space="preserve">Q2 non-GAAP operating-margin guidance of 44.5%–45.5% is strong, but FY26 margin guidance remains below FY25 because of Hexagon. Any better-than-expected integration economics would be constructive.</w:t>
      </w:r>
    </w:p>
    <w:p>
      <w:pPr>
        <w:pStyle w:val="Compact"/>
        <w:numPr>
          <w:ilvl w:val="0"/>
          <w:numId w:val="1008"/>
        </w:numPr>
      </w:pPr>
      <w:r>
        <w:rPr>
          <w:b/>
          <w:bCs/>
        </w:rPr>
        <w:t xml:space="preserve">Cash conversion:</w:t>
      </w:r>
      <w:r>
        <w:t xml:space="preserve"> </w:t>
      </w:r>
      <w:r>
        <w:t xml:space="preserve">Q1 operating cash flow was $356M, below the prior-year quarter because of timing of collections and payments. DSO rose to 67 days from 64 days in 4Q25 and 44 days in 1Q25. Q2 cash flow and DSO will be useful measures of execution quality.</w:t>
      </w:r>
    </w:p>
    <w:p>
      <w:pPr>
        <w:pStyle w:val="Compact"/>
        <w:numPr>
          <w:ilvl w:val="0"/>
          <w:numId w:val="1008"/>
        </w:numPr>
      </w:pPr>
      <w:r>
        <w:rPr>
          <w:b/>
          <w:bCs/>
        </w:rPr>
        <w:t xml:space="preserve">Balance sheet:</w:t>
      </w:r>
      <w:r>
        <w:t xml:space="preserve"> </w:t>
      </w:r>
      <w:r>
        <w:t xml:space="preserve">Cash fell to $1.407B at the end of Q1, while debt rose to $2.925B after the acquisition. Cadence still expects to use roughly 50% of FY26 free cash flow for buybacks, including approximately $200M in Q2.</w:t>
      </w:r>
    </w:p>
    <w:p>
      <w:pPr>
        <w:pStyle w:val="Compact"/>
        <w:numPr>
          <w:ilvl w:val="0"/>
          <w:numId w:val="1008"/>
        </w:numPr>
      </w:pPr>
      <w:r>
        <w:rPr>
          <w:b/>
          <w:bCs/>
        </w:rPr>
        <w:t xml:space="preserve">China and export controls:</w:t>
      </w:r>
      <w:r>
        <w:t xml:space="preserve"> </w:t>
      </w:r>
      <w:r>
        <w:t xml:space="preserve">China was 13% of Q1 revenue. Management’s guide assumes export-control regulations remain substantially similar through the remainder of 2026. Any update on China demand, compliance costs, or regulatory developments could matter disproportionately for sentiment.</w:t>
      </w:r>
    </w:p>
    <w:bookmarkEnd w:id="19"/>
    <w:bookmarkStart w:id="20" w:name="stock-and-valuation-context"/>
    <w:p>
      <w:pPr>
        <w:pStyle w:val="Heading2"/>
      </w:pPr>
      <w:r>
        <w:t xml:space="preserve">Stock and valuation context</w:t>
      </w:r>
    </w:p>
    <w:p>
      <w:pPr>
        <w:pStyle w:val="FirstParagraph"/>
      </w:pPr>
      <w:r>
        <w:t xml:space="preserve">CDNS closed at</w:t>
      </w:r>
      <w:r>
        <w:t xml:space="preserve"> </w:t>
      </w:r>
      <w:r>
        <w:rPr>
          <w:b/>
          <w:bCs/>
        </w:rPr>
        <w:t xml:space="preserve">$326.28 on Friday, July 24</w:t>
      </w:r>
      <w:r>
        <w:t xml:space="preserve">, down roughly</w:t>
      </w:r>
      <w:r>
        <w:t xml:space="preserve"> </w:t>
      </w:r>
      <w:r>
        <w:rPr>
          <w:b/>
          <w:bCs/>
        </w:rPr>
        <w:t xml:space="preserve">21% from its June 1 close</w:t>
      </w:r>
      <w:r>
        <w:t xml:space="preserve">, despite remaining near its late-April level. At that price, the stock trades at roughly</w:t>
      </w:r>
      <w:r>
        <w:t xml:space="preserve"> </w:t>
      </w:r>
      <w:r>
        <w:rPr>
          <w:b/>
          <w:bCs/>
        </w:rPr>
        <w:t xml:space="preserve">41x the midpoint of Cadence’s FY26 non-GAAP EPS guidance</w:t>
      </w:r>
      <w:r>
        <w:t xml:space="preserve">—a valuation that still assumes durable double-digit growth and credible AI-driven upside.</w:t>
      </w:r>
    </w:p>
    <w:p>
      <w:pPr>
        <w:pStyle w:val="BodyText"/>
      </w:pPr>
      <w:r>
        <w:t xml:space="preserve">That valuation framework suggests the stock likely needs more than a routine beat: investors will want confirmation that the raised FY outlook remains conservative, that agentic AI is producing measurable commercial traction, and that Hexagon’s near-term dilution has a credible path to reversal in 2027.</w:t>
      </w:r>
    </w:p>
    <w:bookmarkEnd w:id="20"/>
    <w:bookmarkStart w:id="22" w:name="bottom-line"/>
    <w:p>
      <w:pPr>
        <w:pStyle w:val="Heading2"/>
      </w:pPr>
      <w:r>
        <w:t xml:space="preserve">Bottom line</w:t>
      </w:r>
    </w:p>
    <w:p>
      <w:pPr>
        <w:pStyle w:val="FirstParagraph"/>
      </w:pPr>
      <w:r>
        <w:t xml:space="preserve">Cadence is heading into Q2 with</w:t>
      </w:r>
      <w:r>
        <w:t xml:space="preserve"> </w:t>
      </w:r>
      <w:r>
        <w:rPr>
          <w:b/>
          <w:bCs/>
        </w:rPr>
        <w:t xml:space="preserve">strong operating momentum but a higher expectation bar</w:t>
      </w:r>
      <w:r>
        <w:t xml:space="preserve">. The favorable case rests on record backlog, resilient recurring revenue, accelerating AI/HPC design activity, IP expansion, and emerging consumption-based monetization from agentic design workflows.</w:t>
      </w:r>
    </w:p>
    <w:p>
      <w:pPr>
        <w:pStyle w:val="BodyText"/>
      </w:pPr>
      <w:r>
        <w:t xml:space="preserve">The report’s decisive issues are:</w:t>
      </w:r>
    </w:p>
    <w:p>
      <w:pPr>
        <w:pStyle w:val="Compact"/>
        <w:numPr>
          <w:ilvl w:val="0"/>
          <w:numId w:val="1009"/>
        </w:numPr>
      </w:pPr>
      <w:r>
        <w:rPr>
          <w:b/>
          <w:bCs/>
        </w:rPr>
        <w:t xml:space="preserve">Does Cadence raise FY26 guidance again?</w:t>
      </w:r>
    </w:p>
    <w:p>
      <w:pPr>
        <w:pStyle w:val="Compact"/>
        <w:numPr>
          <w:ilvl w:val="0"/>
          <w:numId w:val="1009"/>
        </w:numPr>
      </w:pPr>
      <w:r>
        <w:rPr>
          <w:b/>
          <w:bCs/>
        </w:rPr>
        <w:t xml:space="preserve">Are bookings and backlog still strengthening after the exceptional Q1?</w:t>
      </w:r>
    </w:p>
    <w:p>
      <w:pPr>
        <w:pStyle w:val="Compact"/>
        <w:numPr>
          <w:ilvl w:val="0"/>
          <w:numId w:val="1009"/>
        </w:numPr>
      </w:pPr>
      <w:r>
        <w:rPr>
          <w:b/>
          <w:bCs/>
        </w:rPr>
        <w:t xml:space="preserve">Is agentic AI moving from customer evaluations to paid, measurable adoption?</w:t>
      </w:r>
    </w:p>
    <w:p>
      <w:pPr>
        <w:pStyle w:val="Compact"/>
        <w:numPr>
          <w:ilvl w:val="0"/>
          <w:numId w:val="1009"/>
        </w:numPr>
      </w:pPr>
      <w:r>
        <w:rPr>
          <w:b/>
          <w:bCs/>
        </w:rPr>
        <w:t xml:space="preserve">Can Hexagon’s strategic benefit become visible without further pressure on margins, EPS, or cash generation?</w:t>
      </w:r>
    </w:p>
    <w:p>
      <w:pPr>
        <w:pStyle w:val="Compact"/>
        <w:numPr>
          <w:ilvl w:val="0"/>
          <w:numId w:val="1009"/>
        </w:numPr>
      </w:pPr>
      <w:r>
        <w:rPr>
          <w:b/>
          <w:bCs/>
        </w:rPr>
        <w:t xml:space="preserve">Do China/export-control, hardware mix, or integration comments introduce new uncertainty?</w:t>
      </w:r>
    </w:p>
    <w:bookmarkStart w:id="21" w:name="source-materials-reviewed"/>
    <w:p>
      <w:pPr>
        <w:pStyle w:val="Heading3"/>
      </w:pPr>
      <w:r>
        <w:t xml:space="preserve">Source materials reviewed</w:t>
      </w:r>
    </w:p>
    <w:p>
      <w:pPr>
        <w:pStyle w:val="Compact"/>
        <w:numPr>
          <w:ilvl w:val="0"/>
          <w:numId w:val="1010"/>
        </w:numPr>
      </w:pPr>
      <w:r>
        <w:t xml:space="preserve">Cadence 1Q26 earnings release and CFO commentary, issued April 27, 2026.</w:t>
      </w:r>
    </w:p>
    <w:p>
      <w:pPr>
        <w:pStyle w:val="Compact"/>
        <w:numPr>
          <w:ilvl w:val="0"/>
          <w:numId w:val="1010"/>
        </w:numPr>
      </w:pPr>
      <w:r>
        <w:t xml:space="preserve">Cadence 1Q26 earnings-call transcript.</w:t>
      </w:r>
    </w:p>
    <w:p>
      <w:pPr>
        <w:pStyle w:val="Compact"/>
        <w:numPr>
          <w:ilvl w:val="0"/>
          <w:numId w:val="1010"/>
        </w:numPr>
      </w:pPr>
      <w:r>
        <w:t xml:space="preserve">Cadence 1Q26 Form 10-Q, filed May 1, 2026.</w:t>
      </w:r>
    </w:p>
    <w:p>
      <w:pPr>
        <w:pStyle w:val="Compact"/>
        <w:numPr>
          <w:ilvl w:val="0"/>
          <w:numId w:val="1010"/>
        </w:numPr>
      </w:pPr>
      <w:r>
        <w:t xml:space="preserve">CDNS historical closing-price data through July 24, 2026.</w:t>
      </w:r>
    </w:p>
    <w:bookmarkEnd w:id="21"/>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2026-07-27T00:07:42Z</dcterms:created>
  <dcterms:modified xsi:type="dcterms:W3CDTF">2026-07-27T00:07:42Z</dcterms:modified>
</cp:coreProperties>
</file>

<file path=docProps/custom.xml><?xml version="1.0" encoding="utf-8"?>
<Properties xmlns="http://schemas.openxmlformats.org/officeDocument/2006/custom-properties" xmlns:vt="http://schemas.openxmlformats.org/officeDocument/2006/docPropsVTypes"/>
</file>