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Cadence Design Systems (CDNS)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Cadence Design Systems (CDNS)</w:t>
            </w:r>
          </w:p>
        </w:tc>
      </w:tr>
      <w:tr>
        <w:tc>
          <w:tcPr>
            <w:tcW w:type="dxa" w:w="4320"/>
          </w:tcPr>
          <w:p>
            <w:r>
              <w:rPr>
                <w:rFonts w:ascii="Calibri" w:hAnsi="Calibri"/>
                <w:b/>
                <w:sz w:val="22"/>
              </w:rPr>
              <w:t>Upcoming Earnings Date</w:t>
            </w:r>
          </w:p>
        </w:tc>
        <w:tc>
          <w:tcPr>
            <w:tcW w:type="dxa" w:w="4320"/>
          </w:tcPr>
          <w:p>
            <w:r>
              <w:rPr>
                <w:rFonts w:ascii="Calibri" w:hAnsi="Calibri"/>
                <w:sz w:val="22"/>
              </w:rPr>
              <w:t>July 27, 2026 — After Market Close (5:00 PM ET Webcast)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April 27, 2026 (Q1 2026)</w:t>
            </w:r>
          </w:p>
        </w:tc>
      </w:tr>
      <w:tr>
        <w:tc>
          <w:tcPr>
            <w:tcW w:type="dxa" w:w="4320"/>
          </w:tcPr>
          <w:p>
            <w:r>
              <w:rPr>
                <w:rFonts w:ascii="Calibri" w:hAnsi="Calibri"/>
                <w:b/>
                <w:sz w:val="22"/>
              </w:rPr>
              <w:t>Prepared</w:t>
            </w:r>
          </w:p>
        </w:tc>
        <w:tc>
          <w:tcPr>
            <w:tcW w:type="dxa" w:w="4320"/>
          </w:tcPr>
          <w:p>
            <w:r>
              <w:rPr>
                <w:rFonts w:ascii="Calibri" w:hAnsi="Calibri"/>
                <w:sz w:val="22"/>
              </w:rPr>
              <w:t>July 26,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sits modestly above guidance midpoint on revenue and EPS, record $8B backlog provides strong visibility, and the primary swing factor is whether hardware momentum and IP strength can sustain the Q1 pace into Q2.</w:t>
      </w:r>
    </w:p>
    <w:p>
      <w:r>
        <w:rPr>
          <w:rFonts w:ascii="Calibri" w:hAnsi="Calibri"/>
          <w:color w:val="525866"/>
          <w:sz w:val="22"/>
        </w:rPr>
        <w:t>Heading into Q2 2026, the bar for CDNS is achievable but not trivial: consensus revenue of ~$1.577B sits just above the $1.575B guidance midpoint, and non-GAAP EPS consensus of ~$2.05 is at the top of the $2.02–$2.08 guided range, leaving limited room for a miss but meaningful upside if hardware and IP continue to outperform. Management's tone coming out of Q1 was among the most bullish in recent memory — CEO Devgan called it "one of the best Q1s in company history," raised full-year revenue growth to ~17%, and crossed the Rule of 60 for the first time — and nothing in the subsequent conference circuit (BofA in May, Nasdaq/Jefferies in June) has walked that back. Estimate revisions have been essentially flat since the Q1 print, with revenue and EPS for Q2 barely moving from the post-earnings baseline, suggesting the Street is comfortable with guidance rather than pricing in incremental upside. The stock has had a volatile ride since Q1 earnings — rallying ~23% to a peak near $416 in early June before selling off sharply (~22%) partly on the July 17 Kimi K3/Moonshot AI-driven EDA moat scare that hit SNPS harder but dragged CDNS down as well — meaning the stock enters Q2 earnings at roughly flat to the Q1 print date, neither pricing in a beat nor a miss. The single biggest wildcard is the Kimi K3 narrative: Moonshot AI's claim that an open-source model autonomously designed a chip rattled EDA sentiment broadly, and management's response on the Q2 call — whether they dismiss it as a 45nm simulation irrelevant to leading-edge design or acknowledge any competitive risk — will likely matter more to the stock than the actual Q2 numbers.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or just above guidance midpoints on both revenue and EPS, making this a show-me quarter; </w:t>
      </w:r>
      <w:r>
        <w:rPr>
          <w:rFonts w:ascii="Calibri" w:hAnsi="Calibri"/>
          <w:b/>
          <w:color w:val="525866"/>
          <w:sz w:val="22"/>
        </w:rPr>
        <w:t>hardware and IP revenue are the bigger swing factors</w:t>
      </w:r>
      <w:r>
        <w:rPr>
          <w:rFonts w:ascii="Calibri" w:hAnsi="Calibri"/>
          <w:color w:val="525866"/>
          <w:sz w:val="22"/>
        </w:rPr>
        <w:t xml:space="preserve"> — both beat meaningfully in Q1 and any deceleration would disappoint.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$1,474</w:t>
            </w:r>
          </w:p>
        </w:tc>
        <w:tc>
          <w:tcPr>
            <w:tcW w:type="dxa" w:w="1234"/>
          </w:tcPr>
          <w:p>
            <w:r>
              <w:rPr>
                <w:rFonts w:ascii="Calibri" w:hAnsi="Calibri"/>
                <w:sz w:val="22"/>
              </w:rPr>
              <w:t>$1,275</w:t>
            </w:r>
          </w:p>
        </w:tc>
        <w:tc>
          <w:tcPr>
            <w:tcW w:type="dxa" w:w="1234"/>
          </w:tcPr>
          <w:p>
            <w:r>
              <w:rPr>
                <w:rFonts w:ascii="Calibri" w:hAnsi="Calibri"/>
                <w:sz w:val="22"/>
              </w:rPr>
              <w:t>$1,577</w:t>
            </w:r>
          </w:p>
        </w:tc>
        <w:tc>
          <w:tcPr>
            <w:tcW w:type="dxa" w:w="1234"/>
          </w:tcPr>
          <w:p>
            <w:r>
              <w:rPr>
                <w:rFonts w:ascii="Calibri" w:hAnsi="Calibri"/>
                <w:sz w:val="22"/>
              </w:rPr>
              <w:t>+23.7%</w:t>
            </w:r>
          </w:p>
        </w:tc>
        <w:tc>
          <w:tcPr>
            <w:tcW w:type="dxa" w:w="1234"/>
          </w:tcPr>
          <w:p>
            <w:r>
              <w:rPr>
                <w:rFonts w:ascii="Calibri" w:hAnsi="Calibri"/>
                <w:sz w:val="22"/>
              </w:rPr>
              <w:t>$1,555–$1,595M (mid: $1,575M)</w:t>
            </w:r>
          </w:p>
        </w:tc>
        <w:tc>
          <w:tcPr>
            <w:tcW w:type="dxa" w:w="1234"/>
          </w:tcPr>
          <w:p>
            <w:r>
              <w:rPr>
                <w:rFonts w:ascii="Calibri" w:hAnsi="Calibri"/>
                <w:sz w:val="22"/>
              </w:rPr>
              <w:t>+0.1%</w:t>
            </w:r>
          </w:p>
        </w:tc>
      </w:tr>
      <w:tr>
        <w:tc>
          <w:tcPr>
            <w:tcW w:type="dxa" w:w="1234"/>
          </w:tcPr>
          <w:p>
            <w:r>
              <w:rPr>
                <w:rFonts w:ascii="Calibri" w:hAnsi="Calibri"/>
                <w:sz w:val="22"/>
              </w:rPr>
              <w:t>Non-GAAP EPS (Diluted)</w:t>
            </w:r>
          </w:p>
        </w:tc>
        <w:tc>
          <w:tcPr>
            <w:tcW w:type="dxa" w:w="1234"/>
          </w:tcPr>
          <w:p>
            <w:r>
              <w:rPr>
                <w:rFonts w:ascii="Calibri" w:hAnsi="Calibri"/>
                <w:sz w:val="22"/>
              </w:rPr>
              <w:t>$1.96</w:t>
            </w:r>
          </w:p>
        </w:tc>
        <w:tc>
          <w:tcPr>
            <w:tcW w:type="dxa" w:w="1234"/>
          </w:tcPr>
          <w:p>
            <w:r>
              <w:rPr>
                <w:rFonts w:ascii="Calibri" w:hAnsi="Calibri"/>
                <w:sz w:val="22"/>
              </w:rPr>
              <w:t>$1.65</w:t>
            </w:r>
          </w:p>
        </w:tc>
        <w:tc>
          <w:tcPr>
            <w:tcW w:type="dxa" w:w="1234"/>
          </w:tcPr>
          <w:p>
            <w:r>
              <w:rPr>
                <w:rFonts w:ascii="Calibri" w:hAnsi="Calibri"/>
                <w:sz w:val="22"/>
              </w:rPr>
              <w:t>$2.05</w:t>
            </w:r>
          </w:p>
        </w:tc>
        <w:tc>
          <w:tcPr>
            <w:tcW w:type="dxa" w:w="1234"/>
          </w:tcPr>
          <w:p>
            <w:r>
              <w:rPr>
                <w:rFonts w:ascii="Calibri" w:hAnsi="Calibri"/>
                <w:sz w:val="22"/>
              </w:rPr>
              <w:t>+24.2%</w:t>
            </w:r>
          </w:p>
        </w:tc>
        <w:tc>
          <w:tcPr>
            <w:tcW w:type="dxa" w:w="1234"/>
          </w:tcPr>
          <w:p>
            <w:r>
              <w:rPr>
                <w:rFonts w:ascii="Calibri" w:hAnsi="Calibri"/>
                <w:sz w:val="22"/>
              </w:rPr>
              <w:t>$2.02–$2.08 (mid: $2.05)</w:t>
            </w:r>
          </w:p>
        </w:tc>
        <w:tc>
          <w:tcPr>
            <w:tcW w:type="dxa" w:w="1234"/>
          </w:tcPr>
          <w:p>
            <w:r>
              <w:rPr>
                <w:rFonts w:ascii="Calibri" w:hAnsi="Calibri"/>
                <w:sz w:val="22"/>
              </w:rPr>
              <w:t>0.0%</w:t>
            </w:r>
          </w:p>
        </w:tc>
      </w:tr>
      <w:tr>
        <w:tc>
          <w:tcPr>
            <w:tcW w:type="dxa" w:w="1234"/>
          </w:tcPr>
          <w:p>
            <w:r>
              <w:rPr>
                <w:rFonts w:ascii="Calibri" w:hAnsi="Calibri"/>
                <w:sz w:val="22"/>
              </w:rPr>
              <w:t>Non-GAAP Operating Income ($M)</w:t>
            </w:r>
          </w:p>
        </w:tc>
        <w:tc>
          <w:tcPr>
            <w:tcW w:type="dxa" w:w="1234"/>
          </w:tcPr>
          <w:p>
            <w:r>
              <w:rPr>
                <w:rFonts w:ascii="Calibri" w:hAnsi="Calibri"/>
                <w:sz w:val="22"/>
              </w:rPr>
              <w:t>$659</w:t>
            </w:r>
          </w:p>
        </w:tc>
        <w:tc>
          <w:tcPr>
            <w:tcW w:type="dxa" w:w="1234"/>
          </w:tcPr>
          <w:p>
            <w:r>
              <w:rPr>
                <w:rFonts w:ascii="Calibri" w:hAnsi="Calibri"/>
                <w:sz w:val="22"/>
              </w:rPr>
              <w:t>$418</w:t>
            </w:r>
          </w:p>
        </w:tc>
        <w:tc>
          <w:tcPr>
            <w:tcW w:type="dxa" w:w="1234"/>
          </w:tcPr>
          <w:p>
            <w:r>
              <w:rPr>
                <w:rFonts w:ascii="Calibri" w:hAnsi="Calibri"/>
                <w:sz w:val="22"/>
              </w:rPr>
              <w:t>$709</w:t>
            </w:r>
          </w:p>
        </w:tc>
        <w:tc>
          <w:tcPr>
            <w:tcW w:type="dxa" w:w="1234"/>
          </w:tcPr>
          <w:p>
            <w:r>
              <w:rPr>
                <w:rFonts w:ascii="Calibri" w:hAnsi="Calibri"/>
                <w:sz w:val="22"/>
              </w:rPr>
              <w:t>+69.6%</w:t>
            </w:r>
          </w:p>
        </w:tc>
        <w:tc>
          <w:tcPr>
            <w:tcW w:type="dxa" w:w="1234"/>
          </w:tcPr>
          <w:p>
            <w:r>
              <w:rPr>
                <w:rFonts w:ascii="Calibri" w:hAnsi="Calibri"/>
                <w:sz w:val="22"/>
              </w:rPr>
              <w:t>Non-GAAP op. margin 44.5%–45.5% (mid: 45.0%)</w:t>
            </w:r>
          </w:p>
        </w:tc>
        <w:tc>
          <w:tcPr>
            <w:tcW w:type="dxa" w:w="1234"/>
          </w:tcPr>
          <w:p>
            <w:r>
              <w:rPr>
                <w:rFonts w:ascii="Calibri" w:hAnsi="Calibri"/>
                <w:sz w:val="22"/>
              </w:rPr>
              <w:t>~+0.1%</w:t>
            </w:r>
          </w:p>
        </w:tc>
      </w:tr>
      <w:tr>
        <w:tc>
          <w:tcPr>
            <w:tcW w:type="dxa" w:w="1234"/>
          </w:tcPr>
          <w:p>
            <w:r>
              <w:rPr>
                <w:rFonts w:ascii="Calibri" w:hAnsi="Calibri"/>
                <w:sz w:val="22"/>
              </w:rPr>
              <w:t>IP Revenue ($M)</w:t>
            </w:r>
          </w:p>
        </w:tc>
        <w:tc>
          <w:tcPr>
            <w:tcW w:type="dxa" w:w="1234"/>
          </w:tcPr>
          <w:p>
            <w:r>
              <w:rPr>
                <w:rFonts w:ascii="Calibri" w:hAnsi="Calibri"/>
                <w:sz w:val="22"/>
              </w:rPr>
              <w:t>$206</w:t>
            </w:r>
          </w:p>
        </w:tc>
        <w:tc>
          <w:tcPr>
            <w:tcW w:type="dxa" w:w="1234"/>
          </w:tcPr>
          <w:p>
            <w:r>
              <w:rPr>
                <w:rFonts w:ascii="Calibri" w:hAnsi="Calibri"/>
                <w:sz w:val="22"/>
              </w:rPr>
              <w:t>$166</w:t>
            </w:r>
          </w:p>
        </w:tc>
        <w:tc>
          <w:tcPr>
            <w:tcW w:type="dxa" w:w="1234"/>
          </w:tcPr>
          <w:p>
            <w:r>
              <w:rPr>
                <w:rFonts w:ascii="Calibri" w:hAnsi="Calibri"/>
                <w:sz w:val="22"/>
              </w:rPr>
              <w:t>$216</w:t>
            </w:r>
          </w:p>
        </w:tc>
        <w:tc>
          <w:tcPr>
            <w:tcW w:type="dxa" w:w="1234"/>
          </w:tcPr>
          <w:p>
            <w:r>
              <w:rPr>
                <w:rFonts w:ascii="Calibri" w:hAnsi="Calibri"/>
                <w:sz w:val="22"/>
              </w:rPr>
              <w:t>+30.3%</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Functional Verification (Hardware) Revenue ($M)</w:t>
            </w:r>
          </w:p>
        </w:tc>
        <w:tc>
          <w:tcPr>
            <w:tcW w:type="dxa" w:w="1234"/>
          </w:tcPr>
          <w:p>
            <w:r>
              <w:rPr>
                <w:rFonts w:ascii="Calibri" w:hAnsi="Calibri"/>
                <w:sz w:val="22"/>
              </w:rPr>
              <w:t>$403</w:t>
            </w:r>
          </w:p>
        </w:tc>
        <w:tc>
          <w:tcPr>
            <w:tcW w:type="dxa" w:w="1234"/>
          </w:tcPr>
          <w:p>
            <w:r>
              <w:rPr>
                <w:rFonts w:ascii="Calibri" w:hAnsi="Calibri"/>
                <w:sz w:val="22"/>
              </w:rPr>
              <w:t>$338</w:t>
            </w:r>
          </w:p>
        </w:tc>
        <w:tc>
          <w:tcPr>
            <w:tcW w:type="dxa" w:w="1234"/>
          </w:tcPr>
          <w:p>
            <w:r>
              <w:rPr>
                <w:rFonts w:ascii="Calibri" w:hAnsi="Calibri"/>
                <w:sz w:val="22"/>
              </w:rPr>
              <w:t>$416</w:t>
            </w:r>
          </w:p>
        </w:tc>
        <w:tc>
          <w:tcPr>
            <w:tcW w:type="dxa" w:w="1234"/>
          </w:tcPr>
          <w:p>
            <w:r>
              <w:rPr>
                <w:rFonts w:ascii="Calibri" w:hAnsi="Calibri"/>
                <w:sz w:val="22"/>
              </w:rPr>
              <w:t>+23.1%</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System Design &amp; Analysis Revenue ($M)</w:t>
            </w:r>
          </w:p>
        </w:tc>
        <w:tc>
          <w:tcPr>
            <w:tcW w:type="dxa" w:w="1234"/>
          </w:tcPr>
          <w:p>
            <w:r>
              <w:rPr>
                <w:rFonts w:ascii="Calibri" w:hAnsi="Calibri"/>
                <w:sz w:val="22"/>
              </w:rPr>
              <w:t>$221</w:t>
            </w:r>
          </w:p>
        </w:tc>
        <w:tc>
          <w:tcPr>
            <w:tcW w:type="dxa" w:w="1234"/>
          </w:tcPr>
          <w:p>
            <w:r>
              <w:rPr>
                <w:rFonts w:ascii="Calibri" w:hAnsi="Calibri"/>
                <w:sz w:val="22"/>
              </w:rPr>
              <w:t>$204</w:t>
            </w:r>
          </w:p>
        </w:tc>
        <w:tc>
          <w:tcPr>
            <w:tcW w:type="dxa" w:w="1234"/>
          </w:tcPr>
          <w:p>
            <w:r>
              <w:rPr>
                <w:rFonts w:ascii="Calibri" w:hAnsi="Calibri"/>
                <w:sz w:val="22"/>
              </w:rPr>
              <w:t>$268</w:t>
            </w:r>
          </w:p>
        </w:tc>
        <w:tc>
          <w:tcPr>
            <w:tcW w:type="dxa" w:w="1234"/>
          </w:tcPr>
          <w:p>
            <w:r>
              <w:rPr>
                <w:rFonts w:ascii="Calibri" w:hAnsi="Calibri"/>
                <w:sz w:val="22"/>
              </w:rPr>
              <w:t>+31.4%</w:t>
            </w:r>
          </w:p>
        </w:tc>
        <w:tc>
          <w:tcPr>
            <w:tcW w:type="dxa" w:w="1234"/>
          </w:tcPr>
          <w:p>
            <w:r>
              <w:rPr>
                <w:rFonts w:ascii="Calibri" w:hAnsi="Calibri"/>
                <w:sz w:val="22"/>
              </w:rPr>
              <w:t>N/A (includes ~$40M Hexagon contribution)</w:t>
            </w:r>
          </w:p>
        </w:tc>
        <w:tc>
          <w:tcPr>
            <w:tcW w:type="dxa" w:w="1234"/>
          </w:tcPr>
          <w:p>
            <w:r>
              <w:rPr>
                <w:rFonts w:ascii="Calibri" w:hAnsi="Calibri"/>
                <w:sz w:val="22"/>
              </w:rPr>
              <w:t>N/A</w:t>
            </w:r>
          </w:p>
        </w:tc>
      </w:tr>
      <w:tr>
        <w:tc>
          <w:tcPr>
            <w:tcW w:type="dxa" w:w="1234"/>
          </w:tcPr>
          <w:p>
            <w:r>
              <w:rPr>
                <w:rFonts w:ascii="Calibri" w:hAnsi="Calibri"/>
                <w:sz w:val="22"/>
              </w:rPr>
              <w:t>Remaining Performance Obligations / Backlog ($B)</w:t>
            </w:r>
          </w:p>
        </w:tc>
        <w:tc>
          <w:tcPr>
            <w:tcW w:type="dxa" w:w="1234"/>
          </w:tcPr>
          <w:p>
            <w:r>
              <w:rPr>
                <w:rFonts w:ascii="Calibri" w:hAnsi="Calibri"/>
                <w:sz w:val="22"/>
              </w:rPr>
              <w:t>$8.0B (record)</w:t>
            </w:r>
          </w:p>
        </w:tc>
        <w:tc>
          <w:tcPr>
            <w:tcW w:type="dxa" w:w="1234"/>
          </w:tcPr>
          <w:p>
            <w:r>
              <w:rPr>
                <w:rFonts w:ascii="Calibri" w:hAnsi="Calibri"/>
                <w:sz w:val="22"/>
              </w:rPr>
              <w:t>$6.4B</w:t>
            </w:r>
          </w:p>
        </w:tc>
        <w:tc>
          <w:tcPr>
            <w:tcW w:type="dxa" w:w="1234"/>
          </w:tcPr>
          <w:p>
            <w:r>
              <w:rPr>
                <w:rFonts w:ascii="Calibri" w:hAnsi="Calibri"/>
                <w:sz w:val="22"/>
              </w:rPr>
              <w:t>$7.9B</w:t>
            </w:r>
          </w:p>
        </w:tc>
        <w:tc>
          <w:tcPr>
            <w:tcW w:type="dxa" w:w="1234"/>
          </w:tcPr>
          <w:p>
            <w:r>
              <w:rPr>
                <w:rFonts w:ascii="Calibri" w:hAnsi="Calibri"/>
                <w:sz w:val="22"/>
              </w:rPr>
              <w:t>+23.4%</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$307</w:t>
            </w:r>
          </w:p>
        </w:tc>
        <w:tc>
          <w:tcPr>
            <w:tcW w:type="dxa" w:w="1234"/>
          </w:tcPr>
          <w:p>
            <w:r>
              <w:rPr>
                <w:rFonts w:ascii="Calibri" w:hAnsi="Calibri"/>
                <w:sz w:val="22"/>
              </w:rPr>
              <w:t>$334</w:t>
            </w:r>
          </w:p>
        </w:tc>
        <w:tc>
          <w:tcPr>
            <w:tcW w:type="dxa" w:w="1234"/>
          </w:tcPr>
          <w:p>
            <w:r>
              <w:rPr>
                <w:rFonts w:ascii="Calibri" w:hAnsi="Calibri"/>
                <w:sz w:val="22"/>
              </w:rPr>
              <w:t>$524</w:t>
            </w:r>
          </w:p>
        </w:tc>
        <w:tc>
          <w:tcPr>
            <w:tcW w:type="dxa" w:w="1234"/>
          </w:tcPr>
          <w:p>
            <w:r>
              <w:rPr>
                <w:rFonts w:ascii="Calibri" w:hAnsi="Calibri"/>
                <w:sz w:val="22"/>
              </w:rPr>
              <w:t>+57.0%</w:t>
            </w:r>
          </w:p>
        </w:tc>
        <w:tc>
          <w:tcPr>
            <w:tcW w:type="dxa" w:w="1234"/>
          </w:tcPr>
          <w:p>
            <w:r>
              <w:rPr>
                <w:rFonts w:ascii="Calibri" w:hAnsi="Calibri"/>
                <w:sz w:val="22"/>
              </w:rPr>
              <w:t>FY OCF: $1.875–$1.975B</w:t>
            </w:r>
          </w:p>
        </w:tc>
        <w:tc>
          <w:tcPr>
            <w:tcW w:type="dxa" w:w="1234"/>
          </w:tcPr>
          <w:p>
            <w:r>
              <w:rPr>
                <w:rFonts w:ascii="Calibri" w:hAnsi="Calibri"/>
                <w:sz w:val="22"/>
              </w:rPr>
              <w:t>N/A</w:t>
            </w:r>
          </w:p>
        </w:tc>
      </w:tr>
    </w:tbl>
    <w:p>
      <w:r>
        <w:rPr>
          <w:rFonts w:ascii="Calibri" w:hAnsi="Calibri"/>
          <w:color w:val="525866"/>
          <w:sz w:val="22"/>
        </w:rPr>
        <w:t>Source: Visible Alpha Consensus and Actuals Data. Q2 2026 guidance from Q1 2026 earnings call (April 27, 2026). YoY change calculated vs. Q2 2025 actuals. SDA consensus includes Hexagon D&amp;E contribution (~$40M incremental vs. organic run-rate).</w:t>
      </w:r>
    </w:p>
    <w:p>
      <w:pPr>
        <w:pStyle w:val="Heading3"/>
      </w:pPr>
      <w:r>
        <w:rPr>
          <w:rFonts w:ascii="Calibri" w:hAnsi="Calibri"/>
          <w:b/>
          <w:color w:val="3B4259"/>
          <w:sz w:val="24"/>
        </w:rPr>
        <w:t>Table 2 — Beat/Miss History (Last 8 Quarters, Top 2 KPIs: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$1,474</w:t>
            </w:r>
          </w:p>
        </w:tc>
        <w:tc>
          <w:tcPr>
            <w:tcW w:type="dxa" w:w="1440"/>
          </w:tcPr>
          <w:p>
            <w:r>
              <w:rPr>
                <w:rFonts w:ascii="Calibri" w:hAnsi="Calibri"/>
                <w:sz w:val="22"/>
              </w:rPr>
              <w:t>$1,446</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$1.96</w:t>
            </w:r>
          </w:p>
        </w:tc>
        <w:tc>
          <w:tcPr>
            <w:tcW w:type="dxa" w:w="1440"/>
          </w:tcPr>
          <w:p>
            <w:r>
              <w:rPr>
                <w:rFonts w:ascii="Calibri" w:hAnsi="Calibri"/>
                <w:sz w:val="22"/>
              </w:rPr>
              <w:t>$1.91</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$1,440</w:t>
            </w:r>
          </w:p>
        </w:tc>
        <w:tc>
          <w:tcPr>
            <w:tcW w:type="dxa" w:w="1440"/>
          </w:tcPr>
          <w:p>
            <w:r>
              <w:rPr>
                <w:rFonts w:ascii="Calibri" w:hAnsi="Calibri"/>
                <w:sz w:val="22"/>
              </w:rPr>
              <w:t>$1,425</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$1.99</w:t>
            </w:r>
          </w:p>
        </w:tc>
        <w:tc>
          <w:tcPr>
            <w:tcW w:type="dxa" w:w="1440"/>
          </w:tcPr>
          <w:p>
            <w:r>
              <w:rPr>
                <w:rFonts w:ascii="Calibri" w:hAnsi="Calibri"/>
                <w:sz w:val="22"/>
              </w:rPr>
              <w:t>$1.91</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$1,339</w:t>
            </w:r>
          </w:p>
        </w:tc>
        <w:tc>
          <w:tcPr>
            <w:tcW w:type="dxa" w:w="1440"/>
          </w:tcPr>
          <w:p>
            <w:r>
              <w:rPr>
                <w:rFonts w:ascii="Calibri" w:hAnsi="Calibri"/>
                <w:sz w:val="22"/>
              </w:rPr>
              <w:t>$1,327</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$1.93</w:t>
            </w:r>
          </w:p>
        </w:tc>
        <w:tc>
          <w:tcPr>
            <w:tcW w:type="dxa" w:w="1440"/>
          </w:tcPr>
          <w:p>
            <w:r>
              <w:rPr>
                <w:rFonts w:ascii="Calibri" w:hAnsi="Calibri"/>
                <w:sz w:val="22"/>
              </w:rPr>
              <w:t>$1.80</w:t>
            </w:r>
          </w:p>
        </w:tc>
        <w:tc>
          <w:tcPr>
            <w:tcW w:type="dxa" w:w="1440"/>
          </w:tcPr>
          <w:p>
            <w:r>
              <w:rPr>
                <w:rFonts w:ascii="Calibri" w:hAnsi="Calibri"/>
                <w:b/>
                <w:color w:val="30A46C"/>
                <w:sz w:val="22"/>
              </w:rPr>
              <w:t>+7.2%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$1,275</w:t>
            </w:r>
          </w:p>
        </w:tc>
        <w:tc>
          <w:tcPr>
            <w:tcW w:type="dxa" w:w="1440"/>
          </w:tcPr>
          <w:p>
            <w:r>
              <w:rPr>
                <w:rFonts w:ascii="Calibri" w:hAnsi="Calibri"/>
                <w:sz w:val="22"/>
              </w:rPr>
              <w:t>$1,252</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$1.65</w:t>
            </w:r>
          </w:p>
        </w:tc>
        <w:tc>
          <w:tcPr>
            <w:tcW w:type="dxa" w:w="1440"/>
          </w:tcPr>
          <w:p>
            <w:r>
              <w:rPr>
                <w:rFonts w:ascii="Calibri" w:hAnsi="Calibri"/>
                <w:sz w:val="22"/>
              </w:rPr>
              <w:t>$1.56</w:t>
            </w:r>
          </w:p>
        </w:tc>
        <w:tc>
          <w:tcPr>
            <w:tcW w:type="dxa" w:w="1440"/>
          </w:tcPr>
          <w:p>
            <w:r>
              <w:rPr>
                <w:rFonts w:ascii="Calibri" w:hAnsi="Calibri"/>
                <w:b/>
                <w:color w:val="30A46C"/>
                <w:sz w:val="22"/>
              </w:rPr>
              <w:t>+5.7%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$1,242</w:t>
            </w:r>
          </w:p>
        </w:tc>
        <w:tc>
          <w:tcPr>
            <w:tcW w:type="dxa" w:w="1440"/>
          </w:tcPr>
          <w:p>
            <w:r>
              <w:rPr>
                <w:rFonts w:ascii="Calibri" w:hAnsi="Calibri"/>
                <w:sz w:val="22"/>
              </w:rPr>
              <w:t>$1,240</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$1.57</w:t>
            </w:r>
          </w:p>
        </w:tc>
        <w:tc>
          <w:tcPr>
            <w:tcW w:type="dxa" w:w="1440"/>
          </w:tcPr>
          <w:p>
            <w:r>
              <w:rPr>
                <w:rFonts w:ascii="Calibri" w:hAnsi="Calibri"/>
                <w:sz w:val="22"/>
              </w:rPr>
              <w:t>$1.50</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$1,356</w:t>
            </w:r>
          </w:p>
        </w:tc>
        <w:tc>
          <w:tcPr>
            <w:tcW w:type="dxa" w:w="1440"/>
          </w:tcPr>
          <w:p>
            <w:r>
              <w:rPr>
                <w:rFonts w:ascii="Calibri" w:hAnsi="Calibri"/>
                <w:sz w:val="22"/>
              </w:rPr>
              <w:t>$1,349</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$1.88</w:t>
            </w:r>
          </w:p>
        </w:tc>
        <w:tc>
          <w:tcPr>
            <w:tcW w:type="dxa" w:w="1440"/>
          </w:tcPr>
          <w:p>
            <w:r>
              <w:rPr>
                <w:rFonts w:ascii="Calibri" w:hAnsi="Calibri"/>
                <w:sz w:val="22"/>
              </w:rPr>
              <w:t>$1.83</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$1,216</w:t>
            </w:r>
          </w:p>
        </w:tc>
        <w:tc>
          <w:tcPr>
            <w:tcW w:type="dxa" w:w="1440"/>
          </w:tcPr>
          <w:p>
            <w:r>
              <w:rPr>
                <w:rFonts w:ascii="Calibri" w:hAnsi="Calibri"/>
                <w:sz w:val="22"/>
              </w:rPr>
              <w:t>$1,186</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$1.64</w:t>
            </w:r>
          </w:p>
        </w:tc>
        <w:tc>
          <w:tcPr>
            <w:tcW w:type="dxa" w:w="1440"/>
          </w:tcPr>
          <w:p>
            <w:r>
              <w:rPr>
                <w:rFonts w:ascii="Calibri" w:hAnsi="Calibri"/>
                <w:sz w:val="22"/>
              </w:rPr>
              <w:t>$1.46</w:t>
            </w:r>
          </w:p>
        </w:tc>
        <w:tc>
          <w:tcPr>
            <w:tcW w:type="dxa" w:w="1440"/>
          </w:tcPr>
          <w:p>
            <w:r>
              <w:rPr>
                <w:rFonts w:ascii="Calibri" w:hAnsi="Calibri"/>
                <w:b/>
                <w:color w:val="30A46C"/>
                <w:sz w:val="22"/>
              </w:rPr>
              <w:t>+12.3%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 ($M)</w:t>
            </w:r>
          </w:p>
        </w:tc>
        <w:tc>
          <w:tcPr>
            <w:tcW w:type="dxa" w:w="1440"/>
          </w:tcPr>
          <w:p>
            <w:r>
              <w:rPr>
                <w:rFonts w:ascii="Calibri" w:hAnsi="Calibri"/>
                <w:sz w:val="22"/>
              </w:rPr>
              <w:t>$1,061</w:t>
            </w:r>
          </w:p>
        </w:tc>
        <w:tc>
          <w:tcPr>
            <w:tcW w:type="dxa" w:w="1440"/>
          </w:tcPr>
          <w:p>
            <w:r>
              <w:rPr>
                <w:rFonts w:ascii="Calibri" w:hAnsi="Calibri"/>
                <w:sz w:val="22"/>
              </w:rPr>
              <w:t>$1,049</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$1.28</w:t>
            </w:r>
          </w:p>
        </w:tc>
        <w:tc>
          <w:tcPr>
            <w:tcW w:type="dxa" w:w="1440"/>
          </w:tcPr>
          <w:p>
            <w:r>
              <w:rPr>
                <w:rFonts w:ascii="Calibri" w:hAnsi="Calibri"/>
                <w:sz w:val="22"/>
              </w:rPr>
              <w:t>$1.23</w:t>
            </w:r>
          </w:p>
        </w:tc>
        <w:tc>
          <w:tcPr>
            <w:tcW w:type="dxa" w:w="1440"/>
          </w:tcPr>
          <w:p>
            <w:r>
              <w:rPr>
                <w:rFonts w:ascii="Calibri" w:hAnsi="Calibri"/>
                <w:b/>
                <w:color w:val="30A46C"/>
                <w:sz w:val="22"/>
              </w:rPr>
              <w:t>+4.1%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CDNS has beaten consensus on both revenue and non-GAAP EPS in each of the last 8 quarters, with EPS beats consistently larger than revenue beats (avg. EPS surprise ~5.4% vs. avg. revenue surprise ~1.2%), reflecting strong operating leverage and disciplined cost management.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management's tone at subsequent conferences (BofA May, Nasdaq/Jefferies June) remained constructive and even incrementally bullish on AI demand, with no walk-backs on the 17% full-year revenue growth target.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$1,555M – $1,595M (mid: $1,575M)</w:t>
            </w:r>
          </w:p>
        </w:tc>
        <w:tc>
          <w:tcPr>
            <w:tcW w:type="dxa" w:w="1728"/>
          </w:tcPr>
          <w:p>
            <w:r>
              <w:rPr>
                <w:rFonts w:ascii="Calibri" w:hAnsi="Calibri"/>
                <w:sz w:val="22"/>
              </w:rPr>
              <w:t>—</w:t>
            </w:r>
          </w:p>
        </w:tc>
        <w:tc>
          <w:tcPr>
            <w:tcW w:type="dxa" w:w="1728"/>
          </w:tcPr>
          <w:p>
            <w:r>
              <w:rPr>
                <w:rFonts w:ascii="Calibri" w:hAnsi="Calibri"/>
                <w:sz w:val="22"/>
              </w:rPr>
              <w:t>$1,577M</w:t>
            </w:r>
          </w:p>
        </w:tc>
        <w:tc>
          <w:tcPr>
            <w:tcW w:type="dxa" w:w="1728"/>
          </w:tcPr>
          <w:p>
            <w:r>
              <w:rPr>
                <w:rFonts w:ascii="Calibri" w:hAnsi="Calibri"/>
                <w:sz w:val="22"/>
              </w:rPr>
              <w:t>No change since Q1 print; consensus at +0.1% above midpoint</w:t>
            </w:r>
          </w:p>
        </w:tc>
      </w:tr>
      <w:tr>
        <w:tc>
          <w:tcPr>
            <w:tcW w:type="dxa" w:w="1728"/>
          </w:tcPr>
          <w:p>
            <w:r>
              <w:rPr>
                <w:rFonts w:ascii="Calibri" w:hAnsi="Calibri"/>
                <w:sz w:val="22"/>
              </w:rPr>
              <w:t>Q2 2026 Non-GAAP EPS</w:t>
            </w:r>
          </w:p>
        </w:tc>
        <w:tc>
          <w:tcPr>
            <w:tcW w:type="dxa" w:w="1728"/>
          </w:tcPr>
          <w:p>
            <w:r>
              <w:rPr>
                <w:rFonts w:ascii="Calibri" w:hAnsi="Calibri"/>
                <w:sz w:val="22"/>
              </w:rPr>
              <w:t>$2.02 – $2.08 (mid: $2.05)</w:t>
            </w:r>
          </w:p>
        </w:tc>
        <w:tc>
          <w:tcPr>
            <w:tcW w:type="dxa" w:w="1728"/>
          </w:tcPr>
          <w:p>
            <w:r>
              <w:rPr>
                <w:rFonts w:ascii="Calibri" w:hAnsi="Calibri"/>
                <w:sz w:val="22"/>
              </w:rPr>
              <w:t>—</w:t>
            </w:r>
          </w:p>
        </w:tc>
        <w:tc>
          <w:tcPr>
            <w:tcW w:type="dxa" w:w="1728"/>
          </w:tcPr>
          <w:p>
            <w:r>
              <w:rPr>
                <w:rFonts w:ascii="Calibri" w:hAnsi="Calibri"/>
                <w:sz w:val="22"/>
              </w:rPr>
              <w:t>$2.05</w:t>
            </w:r>
          </w:p>
        </w:tc>
        <w:tc>
          <w:tcPr>
            <w:tcW w:type="dxa" w:w="1728"/>
          </w:tcPr>
          <w:p>
            <w:r>
              <w:rPr>
                <w:rFonts w:ascii="Calibri" w:hAnsi="Calibri"/>
                <w:sz w:val="22"/>
              </w:rPr>
              <w:t>No change; consensus at midpoint</w:t>
            </w:r>
          </w:p>
        </w:tc>
      </w:tr>
      <w:tr>
        <w:tc>
          <w:tcPr>
            <w:tcW w:type="dxa" w:w="1728"/>
          </w:tcPr>
          <w:p>
            <w:r>
              <w:rPr>
                <w:rFonts w:ascii="Calibri" w:hAnsi="Calibri"/>
                <w:sz w:val="22"/>
              </w:rPr>
              <w:t>Q2 2026 Non-GAAP Op. Margin</w:t>
            </w:r>
          </w:p>
        </w:tc>
        <w:tc>
          <w:tcPr>
            <w:tcW w:type="dxa" w:w="1728"/>
          </w:tcPr>
          <w:p>
            <w:r>
              <w:rPr>
                <w:rFonts w:ascii="Calibri" w:hAnsi="Calibri"/>
                <w:sz w:val="22"/>
              </w:rPr>
              <w:t>44.5% – 45.5% (mid: 45.0%)</w:t>
            </w:r>
          </w:p>
        </w:tc>
        <w:tc>
          <w:tcPr>
            <w:tcW w:type="dxa" w:w="1728"/>
          </w:tcPr>
          <w:p>
            <w:r>
              <w:rPr>
                <w:rFonts w:ascii="Calibri" w:hAnsi="Calibri"/>
                <w:sz w:val="22"/>
              </w:rPr>
              <w:t>—</w:t>
            </w:r>
          </w:p>
        </w:tc>
        <w:tc>
          <w:tcPr>
            <w:tcW w:type="dxa" w:w="1728"/>
          </w:tcPr>
          <w:p>
            <w:r>
              <w:rPr>
                <w:rFonts w:ascii="Calibri" w:hAnsi="Calibri"/>
                <w:sz w:val="22"/>
              </w:rPr>
              <w:t>~45.0%</w:t>
            </w:r>
          </w:p>
        </w:tc>
        <w:tc>
          <w:tcPr>
            <w:tcW w:type="dxa" w:w="1728"/>
          </w:tcPr>
          <w:p>
            <w:r>
              <w:rPr>
                <w:rFonts w:ascii="Calibri" w:hAnsi="Calibri"/>
                <w:sz w:val="22"/>
              </w:rPr>
              <w:t>No change; Hexagon dilution baked in</w:t>
            </w:r>
          </w:p>
        </w:tc>
      </w:tr>
      <w:tr>
        <w:tc>
          <w:tcPr>
            <w:tcW w:type="dxa" w:w="1728"/>
          </w:tcPr>
          <w:p>
            <w:r>
              <w:rPr>
                <w:rFonts w:ascii="Calibri" w:hAnsi="Calibri"/>
                <w:sz w:val="22"/>
              </w:rPr>
              <w:t>FY 2026 Revenue</w:t>
            </w:r>
          </w:p>
        </w:tc>
        <w:tc>
          <w:tcPr>
            <w:tcW w:type="dxa" w:w="1728"/>
          </w:tcPr>
          <w:p>
            <w:r>
              <w:rPr>
                <w:rFonts w:ascii="Calibri" w:hAnsi="Calibri"/>
                <w:sz w:val="22"/>
              </w:rPr>
              <w:t>$6,125M – $6,225M (mid: $6,175M; ~17% YoY growth)</w:t>
            </w:r>
          </w:p>
        </w:tc>
        <w:tc>
          <w:tcPr>
            <w:tcW w:type="dxa" w:w="1728"/>
          </w:tcPr>
          <w:p>
            <w:r>
              <w:rPr>
                <w:rFonts w:ascii="Calibri" w:hAnsi="Calibri"/>
                <w:sz w:val="22"/>
              </w:rPr>
              <w:t>—</w:t>
            </w:r>
          </w:p>
        </w:tc>
        <w:tc>
          <w:tcPr>
            <w:tcW w:type="dxa" w:w="1728"/>
          </w:tcPr>
          <w:p>
            <w:r>
              <w:rPr>
                <w:rFonts w:ascii="Calibri" w:hAnsi="Calibri"/>
                <w:sz w:val="22"/>
              </w:rPr>
              <w:t>$6,205M</w:t>
            </w:r>
          </w:p>
        </w:tc>
        <w:tc>
          <w:tcPr>
            <w:tcW w:type="dxa" w:w="1728"/>
          </w:tcPr>
          <w:p>
            <w:r>
              <w:rPr>
                <w:rFonts w:ascii="Calibri" w:hAnsi="Calibri"/>
                <w:sz w:val="22"/>
              </w:rPr>
              <w:t>Consensus +0.5% above midpoint; no formal revision post-Q1</w:t>
            </w:r>
          </w:p>
        </w:tc>
      </w:tr>
      <w:tr>
        <w:tc>
          <w:tcPr>
            <w:tcW w:type="dxa" w:w="1728"/>
          </w:tcPr>
          <w:p>
            <w:r>
              <w:rPr>
                <w:rFonts w:ascii="Calibri" w:hAnsi="Calibri"/>
                <w:sz w:val="22"/>
              </w:rPr>
              <w:t>FY 2026 Non-GAAP EPS</w:t>
            </w:r>
          </w:p>
        </w:tc>
        <w:tc>
          <w:tcPr>
            <w:tcW w:type="dxa" w:w="1728"/>
          </w:tcPr>
          <w:p>
            <w:r>
              <w:rPr>
                <w:rFonts w:ascii="Calibri" w:hAnsi="Calibri"/>
                <w:sz w:val="22"/>
              </w:rPr>
              <w:t>$7.85 – $7.95 (mid: $7.90; includes ~$0.28 Hexagon dilution)</w:t>
            </w:r>
          </w:p>
        </w:tc>
        <w:tc>
          <w:tcPr>
            <w:tcW w:type="dxa" w:w="1728"/>
          </w:tcPr>
          <w:p>
            <w:r>
              <w:rPr>
                <w:rFonts w:ascii="Calibri" w:hAnsi="Calibri"/>
                <w:sz w:val="22"/>
              </w:rPr>
              <w:t>—</w:t>
            </w:r>
          </w:p>
        </w:tc>
        <w:tc>
          <w:tcPr>
            <w:tcW w:type="dxa" w:w="1728"/>
          </w:tcPr>
          <w:p>
            <w:r>
              <w:rPr>
                <w:rFonts w:ascii="Calibri" w:hAnsi="Calibri"/>
                <w:sz w:val="22"/>
              </w:rPr>
              <w:t>$7.95</w:t>
            </w:r>
          </w:p>
        </w:tc>
        <w:tc>
          <w:tcPr>
            <w:tcW w:type="dxa" w:w="1728"/>
          </w:tcPr>
          <w:p>
            <w:r>
              <w:rPr>
                <w:rFonts w:ascii="Calibri" w:hAnsi="Calibri"/>
                <w:sz w:val="22"/>
              </w:rPr>
              <w:t>Consensus at top of range; organic EPS raised $0.08 at Q1</w:t>
            </w:r>
          </w:p>
        </w:tc>
      </w:tr>
      <w:tr>
        <w:tc>
          <w:tcPr>
            <w:tcW w:type="dxa" w:w="1728"/>
          </w:tcPr>
          <w:p>
            <w:r>
              <w:rPr>
                <w:rFonts w:ascii="Calibri" w:hAnsi="Calibri"/>
                <w:sz w:val="22"/>
              </w:rPr>
              <w:t>FY 2026 Non-GAAP Op. Margin</w:t>
            </w:r>
          </w:p>
        </w:tc>
        <w:tc>
          <w:tcPr>
            <w:tcW w:type="dxa" w:w="1728"/>
          </w:tcPr>
          <w:p>
            <w:r>
              <w:rPr>
                <w:rFonts w:ascii="Calibri" w:hAnsi="Calibri"/>
                <w:sz w:val="22"/>
              </w:rPr>
              <w:t>43.5% – 44.5% (mid: 44.0%)</w:t>
            </w:r>
          </w:p>
        </w:tc>
        <w:tc>
          <w:tcPr>
            <w:tcW w:type="dxa" w:w="1728"/>
          </w:tcPr>
          <w:p>
            <w:r>
              <w:rPr>
                <w:rFonts w:ascii="Calibri" w:hAnsi="Calibri"/>
                <w:sz w:val="22"/>
              </w:rPr>
              <w:t>—</w:t>
            </w:r>
          </w:p>
        </w:tc>
        <w:tc>
          <w:tcPr>
            <w:tcW w:type="dxa" w:w="1728"/>
          </w:tcPr>
          <w:p>
            <w:r>
              <w:rPr>
                <w:rFonts w:ascii="Calibri" w:hAnsi="Calibri"/>
                <w:sz w:val="22"/>
              </w:rPr>
              <w:t>~44.1%</w:t>
            </w:r>
          </w:p>
        </w:tc>
        <w:tc>
          <w:tcPr>
            <w:tcW w:type="dxa" w:w="1728"/>
          </w:tcPr>
          <w:p>
            <w:r>
              <w:rPr>
                <w:rFonts w:ascii="Calibri" w:hAnsi="Calibri"/>
                <w:sz w:val="22"/>
              </w:rPr>
              <w:t>Hexagon margin drag (5–10% on $160M rev) embedded in guide</w:t>
            </w:r>
          </w:p>
        </w:tc>
      </w:tr>
      <w:tr>
        <w:tc>
          <w:tcPr>
            <w:tcW w:type="dxa" w:w="1728"/>
          </w:tcPr>
          <w:p>
            <w:r>
              <w:rPr>
                <w:rFonts w:ascii="Calibri" w:hAnsi="Calibri"/>
                <w:sz w:val="22"/>
              </w:rPr>
              <w:t>FY 2026 Operating Cash Flow</w:t>
            </w:r>
          </w:p>
        </w:tc>
        <w:tc>
          <w:tcPr>
            <w:tcW w:type="dxa" w:w="1728"/>
          </w:tcPr>
          <w:p>
            <w:r>
              <w:rPr>
                <w:rFonts w:ascii="Calibri" w:hAnsi="Calibri"/>
                <w:sz w:val="22"/>
              </w:rPr>
              <w:t>$1,875M – $1,975M (organic adj. ~$2.1B ex-Hexagon tax)</w:t>
            </w:r>
          </w:p>
        </w:tc>
        <w:tc>
          <w:tcPr>
            <w:tcW w:type="dxa" w:w="1728"/>
          </w:tcPr>
          <w:p>
            <w:r>
              <w:rPr>
                <w:rFonts w:ascii="Calibri" w:hAnsi="Calibri"/>
                <w:sz w:val="22"/>
              </w:rPr>
              <w:t>—</w:t>
            </w:r>
          </w:p>
        </w:tc>
        <w:tc>
          <w:tcPr>
            <w:tcW w:type="dxa" w:w="1728"/>
          </w:tcPr>
          <w:p>
            <w:r>
              <w:rPr>
                <w:rFonts w:ascii="Calibri" w:hAnsi="Calibri"/>
                <w:sz w:val="22"/>
              </w:rPr>
              <w:t>$1,695M FCF consensus</w:t>
            </w:r>
          </w:p>
        </w:tc>
        <w:tc>
          <w:tcPr>
            <w:tcW w:type="dxa" w:w="1728"/>
          </w:tcPr>
          <w:p>
            <w:r>
              <w:rPr>
                <w:rFonts w:ascii="Calibri" w:hAnsi="Calibri"/>
                <w:sz w:val="22"/>
              </w:rPr>
              <w:t>~$180M Hexagon pre-close tax liability depresses reported OCF</w:t>
            </w:r>
          </w:p>
        </w:tc>
      </w:tr>
      <w:tr>
        <w:tc>
          <w:tcPr>
            <w:tcW w:type="dxa" w:w="1728"/>
          </w:tcPr>
          <w:p>
            <w:r>
              <w:rPr>
                <w:rFonts w:ascii="Calibri" w:hAnsi="Calibri"/>
                <w:sz w:val="22"/>
              </w:rPr>
              <w:t>Hexagon D&amp;E Revenue (FY 2026)</w:t>
            </w:r>
          </w:p>
        </w:tc>
        <w:tc>
          <w:tcPr>
            <w:tcW w:type="dxa" w:w="1728"/>
          </w:tcPr>
          <w:p>
            <w:r>
              <w:rPr>
                <w:rFonts w:ascii="Calibri" w:hAnsi="Calibri"/>
                <w:sz w:val="22"/>
              </w:rPr>
              <w:t>~$160M (first-half weighted)</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Accretive in 2027; 2026 dilutive ~$0.28 to EPS</w:t>
            </w:r>
          </w:p>
        </w:tc>
      </w:tr>
      <w:tr>
        <w:tc>
          <w:tcPr>
            <w:tcW w:type="dxa" w:w="1728"/>
          </w:tcPr>
          <w:p>
            <w:r>
              <w:rPr>
                <w:rFonts w:ascii="Calibri" w:hAnsi="Calibri"/>
                <w:sz w:val="22"/>
              </w:rPr>
              <w:t>Management Tone</w:t>
            </w:r>
          </w:p>
        </w:tc>
        <w:tc>
          <w:tcPr>
            <w:tcW w:type="dxa" w:w="1728"/>
          </w:tcPr>
          <w:p>
            <w:r>
              <w:rPr>
                <w:rFonts w:ascii="Calibri" w:hAnsi="Calibri"/>
                <w:sz w:val="22"/>
              </w:rPr>
              <w:t>Highly bullish: "one of the best Q1s in company history"; Rule of 60 crossed for first time; raised FY rev growth to 17%</w:t>
            </w:r>
          </w:p>
        </w:tc>
        <w:tc>
          <w:tcPr>
            <w:tcW w:type="dxa" w:w="1728"/>
          </w:tcPr>
          <w:p>
            <w:r>
              <w:rPr>
                <w:rFonts w:ascii="Calibri" w:hAnsi="Calibri"/>
                <w:sz w:val="22"/>
              </w:rPr>
              <w:t>Incrementally more bullish at BofA (May) and Nasdaq/Jefferies (June): CEO cited hyperscaler verticalization, physical AI as Horizon 2, design starts increasing not declining; VP IR cited Jensen Huang's willingness to spend ~50% of engineer cost on tokens</w:t>
            </w:r>
          </w:p>
        </w:tc>
        <w:tc>
          <w:tcPr>
            <w:tcW w:type="dxa" w:w="1728"/>
          </w:tcPr>
          <w:p>
            <w:r>
              <w:rPr>
                <w:rFonts w:ascii="Calibri" w:hAnsi="Calibri"/>
                <w:sz w:val="22"/>
              </w:rPr>
              <w:t>Constructive</w:t>
            </w:r>
          </w:p>
        </w:tc>
        <w:tc>
          <w:tcPr>
            <w:tcW w:type="dxa" w:w="1728"/>
          </w:tcPr>
          <w:p>
            <w:r>
              <w:rPr>
                <w:rFonts w:ascii="Calibri" w:hAnsi="Calibri"/>
                <w:sz w:val="22"/>
              </w:rPr>
              <w:t>↑ Tone strengthened post-Q1 at conferences; no guidance walk-back; agentic AI monetization framed as potentially sooner than 2 contract cycles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revenue and EPS consensus moved less than 0.1% from the post-earnings baseline — suggesting the Street is anchored to guidance rather than pricing in incremental upside; </w:t>
      </w:r>
      <w:r>
        <w:rPr>
          <w:rFonts w:ascii="Calibri" w:hAnsi="Calibri"/>
          <w:b/>
          <w:color w:val="525866"/>
          <w:sz w:val="22"/>
        </w:rPr>
        <w:t>the flat revision trajectory is a neutral setup,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2, 2026)</w:t>
            </w:r>
          </w:p>
        </w:tc>
        <w:tc>
          <w:tcPr>
            <w:tcW w:type="dxa" w:w="1080"/>
            <w:shd w:val="clear" w:color="auto" w:fill="3B4259"/>
          </w:tcPr>
          <w:p>
            <w:r>
              <w:rPr>
                <w:rFonts w:ascii="Calibri" w:hAnsi="Calibri"/>
                <w:b/>
                <w:color w:val="FFFFFF"/>
                <w:sz w:val="22"/>
              </w:rPr>
              <w:t>Current Consensus (Jul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$1,576M</w:t>
            </w:r>
          </w:p>
        </w:tc>
        <w:tc>
          <w:tcPr>
            <w:tcW w:type="dxa" w:w="1080"/>
          </w:tcPr>
          <w:p>
            <w:r>
              <w:rPr>
                <w:rFonts w:ascii="Calibri" w:hAnsi="Calibri"/>
                <w:sz w:val="22"/>
              </w:rPr>
              <w:t>$1,577M</w:t>
            </w:r>
          </w:p>
        </w:tc>
        <w:tc>
          <w:tcPr>
            <w:tcW w:type="dxa" w:w="1080"/>
          </w:tcPr>
          <w:p>
            <w:r>
              <w:rPr>
                <w:rFonts w:ascii="Calibri" w:hAnsi="Calibri"/>
                <w:sz w:val="22"/>
              </w:rPr>
              <w:t>+0.1%</w:t>
            </w:r>
          </w:p>
        </w:tc>
        <w:tc>
          <w:tcPr>
            <w:tcW w:type="dxa" w:w="1080"/>
          </w:tcPr>
          <w:p>
            <w:r>
              <w:rPr>
                <w:rFonts w:ascii="Calibri" w:hAnsi="Calibri"/>
                <w:sz w:val="22"/>
              </w:rPr>
              <w:t>$1,555–$1,595M (mid $1,575M)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Non-GAAP EPS — Q2 2026</w:t>
            </w:r>
          </w:p>
        </w:tc>
        <w:tc>
          <w:tcPr>
            <w:tcW w:type="dxa" w:w="1080"/>
          </w:tcPr>
          <w:p>
            <w:r>
              <w:rPr>
                <w:rFonts w:ascii="Calibri" w:hAnsi="Calibri"/>
                <w:sz w:val="22"/>
              </w:rPr>
              <w:t>$2.05</w:t>
            </w:r>
          </w:p>
        </w:tc>
        <w:tc>
          <w:tcPr>
            <w:tcW w:type="dxa" w:w="1080"/>
          </w:tcPr>
          <w:p>
            <w:r>
              <w:rPr>
                <w:rFonts w:ascii="Calibri" w:hAnsi="Calibri"/>
                <w:sz w:val="22"/>
              </w:rPr>
              <w:t>$2.05</w:t>
            </w:r>
          </w:p>
        </w:tc>
        <w:tc>
          <w:tcPr>
            <w:tcW w:type="dxa" w:w="1080"/>
          </w:tcPr>
          <w:p>
            <w:r>
              <w:rPr>
                <w:rFonts w:ascii="Calibri" w:hAnsi="Calibri"/>
                <w:sz w:val="22"/>
              </w:rPr>
              <w:t>0.0%</w:t>
            </w:r>
          </w:p>
        </w:tc>
        <w:tc>
          <w:tcPr>
            <w:tcW w:type="dxa" w:w="1080"/>
          </w:tcPr>
          <w:p>
            <w:r>
              <w:rPr>
                <w:rFonts w:ascii="Calibri" w:hAnsi="Calibri"/>
                <w:sz w:val="22"/>
              </w:rPr>
              <w:t>$2.02–$2.08 (mid $2.05)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w:t>
            </w:r>
          </w:p>
        </w:tc>
      </w:tr>
      <w:tr>
        <w:tc>
          <w:tcPr>
            <w:tcW w:type="dxa" w:w="1080"/>
          </w:tcPr>
          <w:p>
            <w:r>
              <w:rPr>
                <w:rFonts w:ascii="Calibri" w:hAnsi="Calibri"/>
                <w:sz w:val="22"/>
              </w:rPr>
              <w:t>Non-GAAP Op. Income — Q2 2026</w:t>
            </w:r>
          </w:p>
        </w:tc>
        <w:tc>
          <w:tcPr>
            <w:tcW w:type="dxa" w:w="1080"/>
          </w:tcPr>
          <w:p>
            <w:r>
              <w:rPr>
                <w:rFonts w:ascii="Calibri" w:hAnsi="Calibri"/>
                <w:sz w:val="22"/>
              </w:rPr>
              <w:t>$709M</w:t>
            </w:r>
          </w:p>
        </w:tc>
        <w:tc>
          <w:tcPr>
            <w:tcW w:type="dxa" w:w="1080"/>
          </w:tcPr>
          <w:p>
            <w:r>
              <w:rPr>
                <w:rFonts w:ascii="Calibri" w:hAnsi="Calibri"/>
                <w:sz w:val="22"/>
              </w:rPr>
              <w:t>$709M</w:t>
            </w:r>
          </w:p>
        </w:tc>
        <w:tc>
          <w:tcPr>
            <w:tcW w:type="dxa" w:w="1080"/>
          </w:tcPr>
          <w:p>
            <w:r>
              <w:rPr>
                <w:rFonts w:ascii="Calibri" w:hAnsi="Calibri"/>
                <w:sz w:val="22"/>
              </w:rPr>
              <w:t>0.0%</w:t>
            </w:r>
          </w:p>
        </w:tc>
        <w:tc>
          <w:tcPr>
            <w:tcW w:type="dxa" w:w="1080"/>
          </w:tcPr>
          <w:p>
            <w:r>
              <w:rPr>
                <w:rFonts w:ascii="Calibri" w:hAnsi="Calibri"/>
                <w:sz w:val="22"/>
              </w:rPr>
              <w:t>44.5%–45.5% margin (mid 45.0%)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w:t>
            </w:r>
          </w:p>
        </w:tc>
      </w:tr>
      <w:tr>
        <w:tc>
          <w:tcPr>
            <w:tcW w:type="dxa" w:w="1080"/>
          </w:tcPr>
          <w:p>
            <w:r>
              <w:rPr>
                <w:rFonts w:ascii="Calibri" w:hAnsi="Calibri"/>
                <w:sz w:val="22"/>
              </w:rPr>
              <w:t>Revenue — FY 2026</w:t>
            </w:r>
          </w:p>
        </w:tc>
        <w:tc>
          <w:tcPr>
            <w:tcW w:type="dxa" w:w="1080"/>
          </w:tcPr>
          <w:p>
            <w:r>
              <w:rPr>
                <w:rFonts w:ascii="Calibri" w:hAnsi="Calibri"/>
                <w:sz w:val="22"/>
              </w:rPr>
              <w:t>$6,203M</w:t>
            </w:r>
          </w:p>
        </w:tc>
        <w:tc>
          <w:tcPr>
            <w:tcW w:type="dxa" w:w="1080"/>
          </w:tcPr>
          <w:p>
            <w:r>
              <w:rPr>
                <w:rFonts w:ascii="Calibri" w:hAnsi="Calibri"/>
                <w:sz w:val="22"/>
              </w:rPr>
              <w:t>$6,205M</w:t>
            </w:r>
          </w:p>
        </w:tc>
        <w:tc>
          <w:tcPr>
            <w:tcW w:type="dxa" w:w="1080"/>
          </w:tcPr>
          <w:p>
            <w:r>
              <w:rPr>
                <w:rFonts w:ascii="Calibri" w:hAnsi="Calibri"/>
                <w:sz w:val="22"/>
              </w:rPr>
              <w:t>+0.0%</w:t>
            </w:r>
          </w:p>
        </w:tc>
        <w:tc>
          <w:tcPr>
            <w:tcW w:type="dxa" w:w="1080"/>
          </w:tcPr>
          <w:p>
            <w:r>
              <w:rPr>
                <w:rFonts w:ascii="Calibri" w:hAnsi="Calibri"/>
                <w:sz w:val="22"/>
              </w:rPr>
              <w:t>$6,125–$6,225M (mid $6,175M)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Non-GAAP EPS — FY 2026</w:t>
            </w:r>
          </w:p>
        </w:tc>
        <w:tc>
          <w:tcPr>
            <w:tcW w:type="dxa" w:w="1080"/>
          </w:tcPr>
          <w:p>
            <w:r>
              <w:rPr>
                <w:rFonts w:ascii="Calibri" w:hAnsi="Calibri"/>
                <w:sz w:val="22"/>
              </w:rPr>
              <w:t>$7.95</w:t>
            </w:r>
          </w:p>
        </w:tc>
        <w:tc>
          <w:tcPr>
            <w:tcW w:type="dxa" w:w="1080"/>
          </w:tcPr>
          <w:p>
            <w:r>
              <w:rPr>
                <w:rFonts w:ascii="Calibri" w:hAnsi="Calibri"/>
                <w:sz w:val="22"/>
              </w:rPr>
              <w:t>$7.95</w:t>
            </w:r>
          </w:p>
        </w:tc>
        <w:tc>
          <w:tcPr>
            <w:tcW w:type="dxa" w:w="1080"/>
          </w:tcPr>
          <w:p>
            <w:r>
              <w:rPr>
                <w:rFonts w:ascii="Calibri" w:hAnsi="Calibri"/>
                <w:sz w:val="22"/>
              </w:rPr>
              <w:t>0.0%</w:t>
            </w:r>
          </w:p>
        </w:tc>
        <w:tc>
          <w:tcPr>
            <w:tcW w:type="dxa" w:w="1080"/>
          </w:tcPr>
          <w:p>
            <w:r>
              <w:rPr>
                <w:rFonts w:ascii="Calibri" w:hAnsi="Calibri"/>
                <w:sz w:val="22"/>
              </w:rPr>
              <w:t>$7.85–$7.95 (mid $7.90)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Revenue — FY 2027</w:t>
            </w:r>
          </w:p>
        </w:tc>
        <w:tc>
          <w:tcPr>
            <w:tcW w:type="dxa" w:w="1080"/>
          </w:tcPr>
          <w:p>
            <w:r>
              <w:rPr>
                <w:rFonts w:ascii="Calibri" w:hAnsi="Calibri"/>
                <w:sz w:val="22"/>
              </w:rPr>
              <w:t>$7,020M</w:t>
            </w:r>
          </w:p>
        </w:tc>
        <w:tc>
          <w:tcPr>
            <w:tcW w:type="dxa" w:w="1080"/>
          </w:tcPr>
          <w:p>
            <w:r>
              <w:rPr>
                <w:rFonts w:ascii="Calibri" w:hAnsi="Calibri"/>
                <w:sz w:val="22"/>
              </w:rPr>
              <w:t>$7,028M</w:t>
            </w:r>
          </w:p>
        </w:tc>
        <w:tc>
          <w:tcPr>
            <w:tcW w:type="dxa" w:w="1080"/>
          </w:tcPr>
          <w:p>
            <w:r>
              <w:rPr>
                <w:rFonts w:ascii="Calibri" w:hAnsi="Calibri"/>
                <w:sz w:val="22"/>
              </w:rPr>
              <w:t>+0.1%</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2027</w:t>
            </w:r>
          </w:p>
        </w:tc>
        <w:tc>
          <w:tcPr>
            <w:tcW w:type="dxa" w:w="1080"/>
          </w:tcPr>
          <w:p>
            <w:r>
              <w:rPr>
                <w:rFonts w:ascii="Calibri" w:hAnsi="Calibri"/>
                <w:sz w:val="22"/>
              </w:rPr>
              <w:t>$9.38</w:t>
            </w:r>
          </w:p>
        </w:tc>
        <w:tc>
          <w:tcPr>
            <w:tcW w:type="dxa" w:w="1080"/>
          </w:tcPr>
          <w:p>
            <w:r>
              <w:rPr>
                <w:rFonts w:ascii="Calibri" w:hAnsi="Calibri"/>
                <w:sz w:val="22"/>
              </w:rPr>
              <w:t>$9.39</w:t>
            </w:r>
          </w:p>
        </w:tc>
        <w:tc>
          <w:tcPr>
            <w:tcW w:type="dxa" w:w="1080"/>
          </w:tcPr>
          <w:p>
            <w:r>
              <w:rPr>
                <w:rFonts w:ascii="Calibri" w:hAnsi="Calibri"/>
                <w:sz w:val="22"/>
              </w:rPr>
              <w:t>+0.1%</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as of May 2, 2026 (5 trading days after April 27 earnings). The near-zero estimate drift across all periods confirms the Street is tracking guidance tightly; any Q2 beat that prompts a guidance raise would be the primary catalyst for upward revisions to FY 2026 and FY 2027 estimates.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CDNS is roughly flat vs. the Q1 earnings date (+≈0%), masking a sharp round-trip — a ~23% rally to peak ~$416 in early June driven by AI sentiment and conference optimism, followed by a ~22% selloff largely triggered by the July 17 Kimi K3/Moonshot AI EDA moat scare; the stock enters Q2 earnings having given back all post-Q1 gains, creating a cleaner setup.</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CDNS vs. SNPS (EDA peer) vs. IGV (iShares Expanded Tech-Software ETF) — Indexed to 100 at Q1 2026 earnings date (April 27, 2026). Source: Stock Price Data.</w:t>
      </w:r>
    </w:p>
    <w:p>
      <w:pPr>
        <w:pStyle w:val="ListBullet"/>
        <w:ind w:left="360" w:hanging="360"/>
      </w:pPr>
      <w:r>
        <w:rPr>
          <w:rFonts w:ascii="Calibri" w:hAnsi="Calibri"/>
          <w:b/>
          <w:color w:val="525866"/>
          <w:sz w:val="22"/>
        </w:rPr>
        <w:t xml:space="preserve">Apr 27 – May 8 (+7.8%): </w:t>
      </w:r>
      <w:r>
        <w:rPr>
          <w:rFonts w:ascii="Calibri" w:hAnsi="Calibri"/>
          <w:color w:val="525866"/>
          <w:sz w:val="22"/>
        </w:rPr>
        <w:t>Initial post-Q1 rally on record backlog, raised guidance, and Rule of 60 milestone. Stock moved from $337 to $363.</w:t>
      </w:r>
    </w:p>
    <w:p>
      <w:pPr>
        <w:pStyle w:val="ListBullet"/>
        <w:ind w:left="360" w:hanging="360"/>
      </w:pPr>
      <w:r>
        <w:rPr>
          <w:rFonts w:ascii="Calibri" w:hAnsi="Calibri"/>
          <w:b/>
          <w:color w:val="525866"/>
          <w:sz w:val="22"/>
        </w:rPr>
        <w:t xml:space="preserve">May 20 – Jun 4 (+19%): </w:t>
      </w:r>
      <w:r>
        <w:rPr>
          <w:rFonts w:ascii="Calibri" w:hAnsi="Calibri"/>
          <w:color w:val="525866"/>
          <w:sz w:val="22"/>
        </w:rPr>
        <w:t>Broad AI/tech sentiment surge (NVDA earnings May 20, GTC Taipei keynote May 31) lifted the entire EDA/semiconductor complex. CDNS peaked near $416 on June 2–3.</w:t>
      </w:r>
    </w:p>
    <w:p>
      <w:pPr>
        <w:pStyle w:val="ListBullet"/>
        <w:ind w:left="360" w:hanging="360"/>
      </w:pPr>
      <w:r>
        <w:rPr>
          <w:rFonts w:ascii="Calibri" w:hAnsi="Calibri"/>
          <w:b/>
          <w:color w:val="525866"/>
          <w:sz w:val="22"/>
        </w:rPr>
        <w:t xml:space="preserve">Jun 5 – Jun 12 (−10%): </w:t>
      </w:r>
      <w:r>
        <w:rPr>
          <w:rFonts w:ascii="Calibri" w:hAnsi="Calibri"/>
          <w:color w:val="525866"/>
          <w:sz w:val="22"/>
        </w:rPr>
        <w:t>Broad tech pullback; CDNS fell from $416 to $385 alongside sector rotation.</w:t>
      </w:r>
    </w:p>
    <w:p>
      <w:pPr>
        <w:pStyle w:val="ListBullet"/>
        <w:ind w:left="360" w:hanging="360"/>
      </w:pPr>
      <w:r>
        <w:rPr>
          <w:rFonts w:ascii="Calibri" w:hAnsi="Calibri"/>
          <w:b/>
          <w:color w:val="525866"/>
          <w:sz w:val="22"/>
        </w:rPr>
        <w:t xml:space="preserve">Jun 8: </w:t>
      </w:r>
      <w:r>
        <w:rPr>
          <w:rFonts w:ascii="Calibri" w:hAnsi="Calibri"/>
          <w:color w:val="525866"/>
          <w:sz w:val="22"/>
        </w:rPr>
        <w:t>Cadence announced formal multi-year expanded collaboration with Intel Foundry on DTCO for Intel 14A — a concrete step-up in the Intel foundry relationship management had been signaling.</w:t>
      </w:r>
    </w:p>
    <w:p>
      <w:pPr>
        <w:pStyle w:val="ListBullet"/>
        <w:ind w:left="360" w:hanging="360"/>
      </w:pPr>
      <w:r>
        <w:rPr>
          <w:rFonts w:ascii="Calibri" w:hAnsi="Calibri"/>
          <w:b/>
          <w:color w:val="525866"/>
          <w:sz w:val="22"/>
        </w:rPr>
        <w:t xml:space="preserve">Jul 17 (−13%): </w:t>
      </w:r>
      <w:r>
        <w:rPr>
          <w:rFonts w:ascii="Calibri" w:hAnsi="Calibri"/>
          <w:color w:val="525866"/>
          <w:sz w:val="22"/>
        </w:rPr>
        <w:t>Moonshot AI unveiled Kimi K3, claiming autonomous chip design using open-source EDA tools. SNPS fell ~8–10% and CDNS dropped ~11% in sympathy. The selloff was likely overdone — Kimi K3 used a 45nm simulated design, not fabricated leading-edge silicon — but rattled EDA moat sentiment broadly.</w:t>
      </w:r>
    </w:p>
    <w:p>
      <w:pPr>
        <w:pStyle w:val="ListBullet"/>
        <w:ind w:left="360" w:hanging="360"/>
      </w:pPr>
      <w:r>
        <w:rPr>
          <w:rFonts w:ascii="Calibri" w:hAnsi="Calibri"/>
          <w:b/>
          <w:color w:val="525866"/>
          <w:sz w:val="22"/>
        </w:rPr>
        <w:t xml:space="preserve">Jul 21 (+4.3%): </w:t>
      </w:r>
      <w:r>
        <w:rPr>
          <w:rFonts w:ascii="Calibri" w:hAnsi="Calibri"/>
          <w:color w:val="525866"/>
          <w:sz w:val="22"/>
        </w:rPr>
        <w:t>Partial recovery as market digested the limited scope of the Kimi K3 threat.</w:t>
      </w:r>
    </w:p>
    <w:p>
      <w:pPr>
        <w:pStyle w:val="ListBullet"/>
        <w:ind w:left="360" w:hanging="360"/>
      </w:pPr>
      <w:r>
        <w:rPr>
          <w:rFonts w:ascii="Calibri" w:hAnsi="Calibri"/>
          <w:b/>
          <w:color w:val="525866"/>
          <w:sz w:val="22"/>
        </w:rPr>
        <w:t xml:space="preserve">Jul 24 (current: $326): </w:t>
      </w:r>
      <w:r>
        <w:rPr>
          <w:rFonts w:ascii="Calibri" w:hAnsi="Calibri"/>
          <w:color w:val="525866"/>
          <w:sz w:val="22"/>
        </w:rPr>
        <w:t>CDNS is ~−3.1% vs. the Q1 earnings date close of $337, underperforming IGV (+3.0%) over the same period. SNPS has underperformed more sharply (∓25% from Q1 date), partly reflecting IP segment weakness specific to SNPS.</w:t>
      </w:r>
    </w:p>
    <w:p>
      <w:r>
        <w:br w:type="page"/>
      </w:r>
    </w:p>
    <w:p>
      <w:pPr>
        <w:pStyle w:val="Heading2"/>
      </w:pPr>
      <w:r>
        <w:rPr>
          <w:rFonts w:ascii="Calibri" w:hAnsi="Calibri"/>
          <w:b/>
          <w:color w:val="3B4259"/>
          <w:sz w:val="28"/>
        </w:rPr>
        <w:t>6. Peer Commentaries — Read-Throughs for CDNS Q2 2026</w:t>
      </w:r>
    </w:p>
    <w:p>
      <w:r>
        <w:rPr>
          <w:rFonts w:ascii="Calibri" w:hAnsi="Calibri"/>
          <w:b/>
          <w:color w:val="525866"/>
          <w:sz w:val="22"/>
        </w:rPr>
        <w:t xml:space="preserve">Key Takeaway: </w:t>
      </w:r>
      <w:r>
        <w:rPr>
          <w:rFonts w:ascii="Calibri" w:hAnsi="Calibri"/>
          <w:color w:val="525866"/>
          <w:sz w:val="22"/>
        </w:rPr>
        <w:t>Peer commentary from the last 60 days is broadly positive for CDNS — SNPS confirmed EDA demand is robust and hardware emulation is a key growth driver; NVDA, AVGO, TSM, and ASML all point to accelerating AI chip complexity and design starts; ARM's licensing growth signals sustained custom silicon investment — all of which are structural tailwinds for Cadence's core EDA, hardware, and IP businesses.</w:t>
      </w:r>
    </w:p>
    <w:p>
      <w:r>
        <w:rPr>
          <w:rFonts w:ascii="Calibri" w:hAnsi="Calibri"/>
          <w:b/>
          <w:color w:val="525866"/>
          <w:sz w:val="22"/>
        </w:rPr>
        <w:t xml:space="preserve">Note: </w:t>
      </w:r>
      <w:r>
        <w:rPr>
          <w:rFonts w:ascii="Calibri" w:hAnsi="Calibri"/>
          <w:color w:val="525866"/>
          <w:sz w:val="22"/>
        </w:rPr>
        <w:t>Only commentary from the current reporting period (post-April 27, 2026) is included. Prior-quarter results commentary has been excluded.</w:t>
      </w:r>
    </w:p>
    <w:p>
      <w:pPr>
        <w:pStyle w:val="Heading3"/>
      </w:pPr>
      <w:r>
        <w:rPr>
          <w:rFonts w:ascii="Calibri" w:hAnsi="Calibri"/>
          <w:b/>
          <w:color w:val="3B4259"/>
          <w:sz w:val="24"/>
        </w:rPr>
        <w:t>Synopsys (SNPS) — Q2 FY2026 Earnings (May 27, 2026) &amp; Mizuho Conference (June 9, 2026)</w:t>
      </w:r>
    </w:p>
    <w:p>
      <w:r>
        <w:rPr>
          <w:rFonts w:ascii="Calibri" w:hAnsi="Calibri"/>
          <w:b/>
          <w:color w:val="525866"/>
          <w:sz w:val="22"/>
        </w:rPr>
        <w:t xml:space="preserve">Read-Through Signal: </w:t>
      </w:r>
      <w:r>
        <w:rPr>
          <w:rFonts w:ascii="Calibri" w:hAnsi="Calibri"/>
          <w:color w:val="525866"/>
          <w:sz w:val="22"/>
        </w:rPr>
        <w:t>Strongly positive for CDNS EDA and hardware; mixed on IP (SNPS-specific IP weakness is not a CDNS read-through given CDNS's differentiated IP trajectory).</w:t>
      </w:r>
    </w:p>
    <w:p>
      <w:pPr>
        <w:pStyle w:val="ListBullet"/>
        <w:ind w:left="360" w:hanging="360"/>
      </w:pPr>
      <w:r>
        <w:rPr>
          <w:rFonts w:ascii="Calibri" w:hAnsi="Calibri"/>
          <w:b/>
          <w:color w:val="525866"/>
          <w:sz w:val="22"/>
        </w:rPr>
        <w:t xml:space="preserve">EDA demand robust, double-digit growth in H1 2026: </w:t>
      </w:r>
      <w:r>
        <w:rPr>
          <w:rFonts w:ascii="Calibri" w:hAnsi="Calibri"/>
          <w:color w:val="525866"/>
          <w:sz w:val="22"/>
        </w:rPr>
        <w:t>SNPS delivered double-digit core EDA growth in H1 2026 and confirmed long-term double-digit EDA growth commitment. CEO Ghazi stated: "Design Automation delivered a strong quarter, reflecting robust AI-driven design activity and sustained demand for advanced node and 3DIC solutions." This directly supports CDNS's core EDA segment.</w:t>
      </w:r>
    </w:p>
    <w:p>
      <w:pPr>
        <w:pStyle w:val="ListBullet"/>
        <w:ind w:left="360" w:hanging="360"/>
      </w:pPr>
      <w:r>
        <w:rPr>
          <w:rFonts w:ascii="Calibri" w:hAnsi="Calibri"/>
          <w:b/>
          <w:color w:val="525866"/>
          <w:sz w:val="22"/>
        </w:rPr>
        <w:t xml:space="preserve">Hardware emulation a key growth driver: </w:t>
      </w:r>
      <w:r>
        <w:rPr>
          <w:rFonts w:ascii="Calibri" w:hAnsi="Calibri"/>
          <w:color w:val="525866"/>
          <w:sz w:val="22"/>
        </w:rPr>
        <w:t>SNPS called hardware-assisted verification "the key growth driver" with "particular demand from hyperscaler and leading semiconductor customers scaling emulation and prototyping for increasingly complex AI designs." Multiple strategic system wins across ZS5, ZeBu, and HAPS-200. This is a direct positive read-through for CDNS Palladium Z3 demand.</w:t>
      </w:r>
    </w:p>
    <w:p>
      <w:pPr>
        <w:pStyle w:val="ListBullet"/>
        <w:ind w:left="360" w:hanging="360"/>
      </w:pPr>
      <w:r>
        <w:rPr>
          <w:rFonts w:ascii="Calibri" w:hAnsi="Calibri"/>
          <w:b/>
          <w:color w:val="525866"/>
          <w:sz w:val="22"/>
        </w:rPr>
        <w:t xml:space="preserve">Design starts increasing for AI, bottoming for non-AI: </w:t>
      </w:r>
      <w:r>
        <w:rPr>
          <w:rFonts w:ascii="Calibri" w:hAnsi="Calibri"/>
          <w:color w:val="525866"/>
          <w:sz w:val="22"/>
        </w:rPr>
        <w:t>SNPS tracks chip starts closely and confirmed "a chip start increase or a design start increase in anything AI-related." Non-AI design starts appear to have bottomed in the last two quarters. Net aggregate chip starts are increasing. Positive for CDNS's broad EDA consumption.</w:t>
      </w:r>
    </w:p>
    <w:p>
      <w:pPr>
        <w:pStyle w:val="ListBullet"/>
        <w:ind w:left="360" w:hanging="360"/>
      </w:pPr>
      <w:r>
        <w:rPr>
          <w:rFonts w:ascii="Calibri" w:hAnsi="Calibri"/>
          <w:b/>
          <w:color w:val="525866"/>
          <w:sz w:val="22"/>
        </w:rPr>
        <w:t xml:space="preserve">Agentic AI monetization: subscription + consumption model emerging: </w:t>
      </w:r>
      <w:r>
        <w:rPr>
          <w:rFonts w:ascii="Calibri" w:hAnsi="Calibri"/>
          <w:color w:val="525866"/>
          <w:sz w:val="22"/>
        </w:rPr>
        <w:t>SNPS confirmed 20 customers evaluating agentic EDA solutions across 25+ specialized agents. Business model evolving from subscription license to "subscription plus consumption for agents." SNPS CEO: "That's absolutely an upside for our EDA and S&amp;A business as agents become more pervasive." Validates CDNS's AgentStack/ChipStack/ViraStack/InnoStack monetization thesis.</w:t>
      </w:r>
    </w:p>
    <w:p>
      <w:pPr>
        <w:pStyle w:val="ListBullet"/>
        <w:ind w:left="360" w:hanging="360"/>
      </w:pPr>
      <w:r>
        <w:rPr>
          <w:rFonts w:ascii="Calibri" w:hAnsi="Calibri"/>
          <w:b/>
          <w:color w:val="525866"/>
          <w:sz w:val="22"/>
        </w:rPr>
        <w:t xml:space="preserve">SNPS IP weakness is NOT a CDNS read-through: </w:t>
      </w:r>
      <w:r>
        <w:rPr>
          <w:rFonts w:ascii="Calibri" w:hAnsi="Calibri"/>
          <w:color w:val="525866"/>
          <w:sz w:val="22"/>
        </w:rPr>
        <w:t>SNPS IP revenue was down ~6% YoY in Q2 (though up 12% sequentially from Q1 trough). SNPS acknowledged IP bottomed in Q1 and expects sequential improvement. CDNS IP grew 22% YoY in Q1 2026 — the divergence reflects CDNS's differentiated Star IP portfolio, competitive wins at marquee accounts, and the record foundry deal at 2nm. Do not extrapolate SNPS IP softness to CDNS.</w:t>
      </w:r>
    </w:p>
    <w:p>
      <w:pPr>
        <w:pStyle w:val="ListBullet"/>
        <w:ind w:left="360" w:hanging="360"/>
      </w:pPr>
      <w:r>
        <w:rPr>
          <w:rFonts w:ascii="Calibri" w:hAnsi="Calibri"/>
          <w:b/>
          <w:color w:val="525866"/>
          <w:sz w:val="22"/>
        </w:rPr>
        <w:t xml:space="preserve">China design starts remain challenged (SNPS-specific): </w:t>
      </w:r>
      <w:r>
        <w:rPr>
          <w:rFonts w:ascii="Calibri" w:hAnsi="Calibri"/>
          <w:color w:val="525866"/>
          <w:sz w:val="22"/>
        </w:rPr>
        <w:t>SNPS noted "the design start environment in China remains challenged given all the restrictions." CDNS has guided China at ~13% of revenue for FY2026 with YoY growth; management characterized the environment as more stable than early 2025. Monitor for any incremental commentary on China in Q2.</w:t>
      </w:r>
    </w:p>
    <w:p>
      <w:pPr>
        <w:pStyle w:val="ListBullet"/>
        <w:ind w:left="360" w:hanging="360"/>
      </w:pPr>
      <w:r>
        <w:rPr>
          <w:rFonts w:ascii="Calibri" w:hAnsi="Calibri"/>
          <w:b/>
          <w:color w:val="525866"/>
          <w:sz w:val="22"/>
        </w:rPr>
        <w:t xml:space="preserve">Hyperscaler COT driving IP demand: </w:t>
      </w:r>
      <w:r>
        <w:rPr>
          <w:rFonts w:ascii="Calibri" w:hAnsi="Calibri"/>
          <w:color w:val="525866"/>
          <w:sz w:val="22"/>
        </w:rPr>
        <w:t>SNPS is in active discussions with hyperscalers to shift IP business model from use-fee to use-fee plus royalty. "COT cannot happen without Synopsys IP" — same dynamic applies to CDNS's Star IP portfolio. Validates the structural IP demand thesis for both EDA vendors.</w:t>
      </w:r>
    </w:p>
    <w:p>
      <w:pPr>
        <w:pStyle w:val="Heading3"/>
      </w:pPr>
      <w:r>
        <w:rPr>
          <w:rFonts w:ascii="Calibri" w:hAnsi="Calibri"/>
          <w:b/>
          <w:color w:val="3B4259"/>
          <w:sz w:val="24"/>
        </w:rPr>
        <w:t>NVIDIA (NVDA) — Q1 FY2027 Earnings (May 20, 2026) &amp; GTC Taipei (May 31 – June 2, 2026)</w:t>
      </w:r>
    </w:p>
    <w:p>
      <w:r>
        <w:rPr>
          <w:rFonts w:ascii="Calibri" w:hAnsi="Calibri"/>
          <w:b/>
          <w:color w:val="525866"/>
          <w:sz w:val="22"/>
        </w:rPr>
        <w:t xml:space="preserve">Read-Through Signal: </w:t>
      </w:r>
      <w:r>
        <w:rPr>
          <w:rFonts w:ascii="Calibri" w:hAnsi="Calibri"/>
          <w:color w:val="525866"/>
          <w:sz w:val="22"/>
        </w:rPr>
        <w:t>Strongly positive for CDNS hardware emulation, EDA tool demand, and agentic AI monetization thesis.</w:t>
      </w:r>
    </w:p>
    <w:p>
      <w:pPr>
        <w:pStyle w:val="ListBullet"/>
        <w:ind w:left="360" w:hanging="360"/>
      </w:pPr>
      <w:r>
        <w:rPr>
          <w:rFonts w:ascii="Calibri" w:hAnsi="Calibri"/>
          <w:b/>
          <w:color w:val="525866"/>
          <w:sz w:val="22"/>
        </w:rPr>
        <w:t xml:space="preserve">NVDA explicitly named Cadence as a key EDA partner: </w:t>
      </w:r>
      <w:r>
        <w:rPr>
          <w:rFonts w:ascii="Calibri" w:hAnsi="Calibri"/>
          <w:color w:val="525866"/>
          <w:sz w:val="22"/>
        </w:rPr>
        <w:t>Jensen Huang stated NVDA is "working so closely with Cadence and Synopsys to accelerate all of the world's tools" and is "trying to get all of the world's tools to run on GPUs because they already have GPUs, and it's a lot faster." This directly validates CDNS's Millennium platform and GPU-accelerated EDA strategy.</w:t>
      </w:r>
    </w:p>
    <w:p>
      <w:pPr>
        <w:pStyle w:val="ListBullet"/>
        <w:ind w:left="360" w:hanging="360"/>
      </w:pPr>
      <w:r>
        <w:rPr>
          <w:rFonts w:ascii="Calibri" w:hAnsi="Calibri"/>
          <w:b/>
          <w:color w:val="525866"/>
          <w:sz w:val="22"/>
        </w:rPr>
        <w:t xml:space="preserve">Hyperscale CapEx forecasted to exceed $1 trillion in 2027: </w:t>
      </w:r>
      <w:r>
        <w:rPr>
          <w:rFonts w:ascii="Calibri" w:hAnsi="Calibri"/>
          <w:color w:val="525866"/>
          <w:sz w:val="22"/>
        </w:rPr>
        <w:t>NVDA cited analysts forecasting hyperscale CapEx &gt;$1T in 2027 and AI infrastructure spending on track for $3–$4T annually by end of decade. This level of investment drives massive chip design activity — the primary demand driver for CDNS's EDA, hardware, and IP businesses.</w:t>
      </w:r>
    </w:p>
    <w:p>
      <w:pPr>
        <w:pStyle w:val="ListBullet"/>
        <w:ind w:left="360" w:hanging="360"/>
      </w:pPr>
      <w:r>
        <w:rPr>
          <w:rFonts w:ascii="Calibri" w:hAnsi="Calibri"/>
          <w:b/>
          <w:color w:val="525866"/>
          <w:sz w:val="22"/>
        </w:rPr>
        <w:t xml:space="preserve">Vera Rubin platform: 7 purpose-built chips, accelerating design complexity: </w:t>
      </w:r>
      <w:r>
        <w:rPr>
          <w:rFonts w:ascii="Calibri" w:hAnsi="Calibri"/>
          <w:color w:val="525866"/>
          <w:sz w:val="22"/>
        </w:rPr>
        <w:t>NVDA's next-gen Vera Rubin integrates "7 purpose-built chips across 5 accelerated racks" delivering 35x higher inference throughput vs. Blackwell. This level of chip complexity requires extensive EDA tool usage, hardware emulation, and IP — all CDNS revenue drivers.</w:t>
      </w:r>
    </w:p>
    <w:p>
      <w:pPr>
        <w:pStyle w:val="ListBullet"/>
        <w:ind w:left="360" w:hanging="360"/>
      </w:pPr>
      <w:r>
        <w:rPr>
          <w:rFonts w:ascii="Calibri" w:hAnsi="Calibri"/>
          <w:b/>
          <w:color w:val="525866"/>
          <w:sz w:val="22"/>
        </w:rPr>
        <w:t xml:space="preserve">Annual product cadence driving sustained EDA demand: </w:t>
      </w:r>
      <w:r>
        <w:rPr>
          <w:rFonts w:ascii="Calibri" w:hAnsi="Calibri"/>
          <w:color w:val="525866"/>
          <w:sz w:val="22"/>
        </w:rPr>
        <w:t>NVDA's "annual product cadence, a pace that is unmatched" means continuous new design starts at leading-edge nodes. NVDA is on track for Vera Rubin production in H2 2026, with every frontier model company expected to adopt it immediately. Sustained design activity = sustained CDNS revenue.</w:t>
      </w:r>
    </w:p>
    <w:p>
      <w:pPr>
        <w:pStyle w:val="ListBullet"/>
        <w:ind w:left="360" w:hanging="360"/>
      </w:pPr>
      <w:r>
        <w:rPr>
          <w:rFonts w:ascii="Calibri" w:hAnsi="Calibri"/>
          <w:b/>
          <w:color w:val="525866"/>
          <w:sz w:val="22"/>
        </w:rPr>
        <w:t xml:space="preserve">Agents need faster tools — validates CDNS's agentic AI TAM expansion: </w:t>
      </w:r>
      <w:r>
        <w:rPr>
          <w:rFonts w:ascii="Calibri" w:hAnsi="Calibri"/>
          <w:color w:val="525866"/>
          <w:sz w:val="22"/>
        </w:rPr>
        <w:t>Jensen Huang: "Agents use these tools and have lower patience and tolerance than humans, and they want things to happen quickly." This directly supports CDNS management's thesis that agentic AI drives multiplicative EDA tool consumption (agents run 10–100x more design explorations than human engineers).</w:t>
      </w:r>
    </w:p>
    <w:p>
      <w:pPr>
        <w:pStyle w:val="Heading3"/>
      </w:pPr>
      <w:r>
        <w:rPr>
          <w:rFonts w:ascii="Calibri" w:hAnsi="Calibri"/>
          <w:b/>
          <w:color w:val="3B4259"/>
          <w:sz w:val="24"/>
        </w:rPr>
        <w:t>Broadcom (AVGO) — Q2 FY2026 Earnings (June 3, 2026)</w:t>
      </w:r>
    </w:p>
    <w:p>
      <w:r>
        <w:rPr>
          <w:rFonts w:ascii="Calibri" w:hAnsi="Calibri"/>
          <w:b/>
          <w:color w:val="525866"/>
          <w:sz w:val="22"/>
        </w:rPr>
        <w:t xml:space="preserve">Read-Through Signal: </w:t>
      </w:r>
      <w:r>
        <w:rPr>
          <w:rFonts w:ascii="Calibri" w:hAnsi="Calibri"/>
          <w:color w:val="525866"/>
          <w:sz w:val="22"/>
        </w:rPr>
        <w:t>Strongly positive for CDNS hardware emulation and IP; AVGO's accelerating custom silicon pipeline implies sustained multi-year EDA demand.</w:t>
      </w:r>
    </w:p>
    <w:p>
      <w:pPr>
        <w:pStyle w:val="ListBullet"/>
        <w:ind w:left="360" w:hanging="360"/>
      </w:pPr>
      <w:r>
        <w:rPr>
          <w:rFonts w:ascii="Calibri" w:hAnsi="Calibri"/>
          <w:b/>
          <w:color w:val="525866"/>
          <w:sz w:val="22"/>
        </w:rPr>
        <w:t xml:space="preserve">Custom silicon demand is "insatiable" with visibility extending to 2028: </w:t>
      </w:r>
      <w:r>
        <w:rPr>
          <w:rFonts w:ascii="Calibri" w:hAnsi="Calibri"/>
          <w:color w:val="525866"/>
          <w:sz w:val="22"/>
        </w:rPr>
        <w:t>AVGO CEO Hock Tan stated visibility now runs "all the way to 2028" (vs. 2027 just three months prior) and described demand as a "sustainable and steepening trajectory." AVGO plans to ship ~10 gigawatts of XPU compute in 2027, back-half loaded. Each new XPU generation requires extensive EDA tool usage and hardware emulation — a direct CDNS revenue driver.</w:t>
      </w:r>
    </w:p>
    <w:p>
      <w:pPr>
        <w:pStyle w:val="ListBullet"/>
        <w:ind w:left="360" w:hanging="360"/>
      </w:pPr>
      <w:r>
        <w:rPr>
          <w:rFonts w:ascii="Calibri" w:hAnsi="Calibri"/>
          <w:b/>
          <w:color w:val="525866"/>
          <w:sz w:val="22"/>
        </w:rPr>
        <w:t xml:space="preserve">Increasing chip complexity per generation: </w:t>
      </w:r>
      <w:r>
        <w:rPr>
          <w:rFonts w:ascii="Calibri" w:hAnsi="Calibri"/>
          <w:color w:val="525866"/>
          <w:sz w:val="22"/>
        </w:rPr>
        <w:t>AVGO noted XPU content per gigawatt will "increase very dramatically" as chips integrate SRAMs, embedded CPUs, and multi-die HBM configurations. More complex chips = more EDA tool hours, more emulation cycles, more IP content. Directly positive for CDNS.</w:t>
      </w:r>
    </w:p>
    <w:p>
      <w:pPr>
        <w:pStyle w:val="ListBullet"/>
        <w:ind w:left="360" w:hanging="360"/>
      </w:pPr>
      <w:r>
        <w:rPr>
          <w:rFonts w:ascii="Calibri" w:hAnsi="Calibri"/>
          <w:b/>
          <w:color w:val="525866"/>
          <w:sz w:val="22"/>
        </w:rPr>
        <w:t xml:space="preserve">New 200 Tb switch tape-out this quarter: </w:t>
      </w:r>
      <w:r>
        <w:rPr>
          <w:rFonts w:ascii="Calibri" w:hAnsi="Calibri"/>
          <w:color w:val="525866"/>
          <w:sz w:val="22"/>
        </w:rPr>
        <w:t>AVGO is taping out its next-generation 200 terabit switch in Q2 2026, following the 100 Tb Tomahawk 6. Each tape-out represents a significant EDA and hardware emulation engagement. AVGO is a known CDNS customer.</w:t>
      </w:r>
    </w:p>
    <w:p>
      <w:pPr>
        <w:pStyle w:val="ListBullet"/>
        <w:ind w:left="360" w:hanging="360"/>
      </w:pPr>
      <w:r>
        <w:rPr>
          <w:rFonts w:ascii="Calibri" w:hAnsi="Calibri"/>
          <w:b/>
          <w:color w:val="525866"/>
          <w:sz w:val="22"/>
        </w:rPr>
        <w:t xml:space="preserve">Hyperscaler AI infrastructure investment accelerating: </w:t>
      </w:r>
      <w:r>
        <w:rPr>
          <w:rFonts w:ascii="Calibri" w:hAnsi="Calibri"/>
          <w:color w:val="525866"/>
          <w:sz w:val="22"/>
        </w:rPr>
        <w:t>AVGO's $35B AI XPV platform (with Apollo/Blackstone) targeting 20+ gigawatts of compute through 2028 signals multi-year sustained chip design activity. Google TPU, Anthropic, OpenAI, and Meta MTIA XPU programs all represent active design engagements that use EDA tools.</w:t>
      </w:r>
    </w:p>
    <w:p>
      <w:pPr>
        <w:pStyle w:val="Heading3"/>
      </w:pPr>
      <w:r>
        <w:rPr>
          <w:rFonts w:ascii="Calibri" w:hAnsi="Calibri"/>
          <w:b/>
          <w:color w:val="3B4259"/>
          <w:sz w:val="24"/>
        </w:rPr>
        <w:t>TSMC (TSM) — Q2 2026 Earnings (July 16, 2026)</w:t>
      </w:r>
    </w:p>
    <w:p>
      <w:r>
        <w:rPr>
          <w:rFonts w:ascii="Calibri" w:hAnsi="Calibri"/>
          <w:b/>
          <w:color w:val="525866"/>
          <w:sz w:val="22"/>
        </w:rPr>
        <w:t xml:space="preserve">Read-Through Signal: </w:t>
      </w:r>
      <w:r>
        <w:rPr>
          <w:rFonts w:ascii="Calibri" w:hAnsi="Calibri"/>
          <w:color w:val="525866"/>
          <w:sz w:val="22"/>
        </w:rPr>
        <w:t>Strongly positive for CDNS — TSMC's raised CapEx guidance, accelerating 2nm ramp, and multi-foundry expansion all drive incremental EDA and IP demand.</w:t>
      </w:r>
    </w:p>
    <w:p>
      <w:pPr>
        <w:pStyle w:val="ListBullet"/>
        <w:ind w:left="360" w:hanging="360"/>
      </w:pPr>
      <w:r>
        <w:rPr>
          <w:rFonts w:ascii="Calibri" w:hAnsi="Calibri"/>
          <w:b/>
          <w:color w:val="525866"/>
          <w:sz w:val="22"/>
        </w:rPr>
        <w:t xml:space="preserve">CapEx raised to $60–$64B for 2026 on "insatiable" AI demand: </w:t>
      </w:r>
      <w:r>
        <w:rPr>
          <w:rFonts w:ascii="Calibri" w:hAnsi="Calibri"/>
          <w:color w:val="525866"/>
          <w:sz w:val="22"/>
        </w:rPr>
        <w:t>TSMC raised its full-year 2026 CapEx budget (from prior guidance) driven by "continued strong structural demand from our customers, including the newly emerging Agentic AI market." 70–80% allocated to advanced process technologies. More foundry capacity = more design starts = more CDNS EDA and IP revenue.</w:t>
      </w:r>
    </w:p>
    <w:p>
      <w:pPr>
        <w:pStyle w:val="ListBullet"/>
        <w:ind w:left="360" w:hanging="360"/>
      </w:pPr>
      <w:r>
        <w:rPr>
          <w:rFonts w:ascii="Calibri" w:hAnsi="Calibri"/>
          <w:b/>
          <w:color w:val="525866"/>
          <w:sz w:val="22"/>
        </w:rPr>
        <w:t xml:space="preserve">2nm ramp is steep and ahead of schedule: </w:t>
      </w:r>
      <w:r>
        <w:rPr>
          <w:rFonts w:ascii="Calibri" w:hAnsi="Calibri"/>
          <w:color w:val="525866"/>
          <w:sz w:val="22"/>
        </w:rPr>
        <w:t>TSMC confirmed "steep ramp of our two nanometer technology" in Q3 2026, with "strong level of customer interest and engagement from both smartphone and HPC AI applications" that is "ongoing and ahead of schedule." CDNS closed a record IP deal at 2nm in Q1 — the accelerating 2nm ramp is a direct revenue catalyst.</w:t>
      </w:r>
    </w:p>
    <w:p>
      <w:pPr>
        <w:pStyle w:val="ListBullet"/>
        <w:ind w:left="360" w:hanging="360"/>
      </w:pPr>
      <w:r>
        <w:rPr>
          <w:rFonts w:ascii="Calibri" w:hAnsi="Calibri"/>
          <w:b/>
          <w:color w:val="525866"/>
          <w:sz w:val="22"/>
        </w:rPr>
        <w:t xml:space="preserve">A14 (1.4nm) development underway, 5–7 year lead times: </w:t>
      </w:r>
      <w:r>
        <w:rPr>
          <w:rFonts w:ascii="Calibri" w:hAnsi="Calibri"/>
          <w:color w:val="525866"/>
          <w:sz w:val="22"/>
        </w:rPr>
        <w:t>TSMC introduced A14 (second-gen Nanosheet), A13, and A12 node extensions, with volume production in 2028–2029. The 5–7 year development cycle means design activity for these nodes is happening now — requiring CDNS EDA tools and IP today.</w:t>
      </w:r>
    </w:p>
    <w:p>
      <w:pPr>
        <w:pStyle w:val="ListBullet"/>
        <w:ind w:left="360" w:hanging="360"/>
      </w:pPr>
      <w:r>
        <w:rPr>
          <w:rFonts w:ascii="Calibri" w:hAnsi="Calibri"/>
          <w:b/>
          <w:color w:val="525866"/>
          <w:sz w:val="22"/>
        </w:rPr>
        <w:t xml:space="preserve">Advanced packaging capacity "so tight" — positive for CDNS 3D-IC: </w:t>
      </w:r>
      <w:r>
        <w:rPr>
          <w:rFonts w:ascii="Calibri" w:hAnsi="Calibri"/>
          <w:color w:val="525866"/>
          <w:sz w:val="22"/>
        </w:rPr>
        <w:t>TSMC noted packaging capacity is "so tight that now is limited by customer growth" and is investing heavily in advanced packaging fabs in Arizona and Taiwan. 3D-IC and chiplet complexity is a key growth driver for CDNS's SDA business and Integrity 3D-IC platform.</w:t>
      </w:r>
    </w:p>
    <w:p>
      <w:pPr>
        <w:pStyle w:val="ListBullet"/>
        <w:ind w:left="360" w:hanging="360"/>
      </w:pPr>
      <w:r>
        <w:rPr>
          <w:rFonts w:ascii="Calibri" w:hAnsi="Calibri"/>
          <w:b/>
          <w:color w:val="525866"/>
          <w:sz w:val="22"/>
        </w:rPr>
        <w:t xml:space="preserve">Multi-foundry expansion drives IP demand: </w:t>
      </w:r>
      <w:r>
        <w:rPr>
          <w:rFonts w:ascii="Calibri" w:hAnsi="Calibri"/>
          <w:color w:val="525866"/>
          <w:sz w:val="22"/>
        </w:rPr>
        <w:t>TSMC is adding three additional 3nm fabs (Taiwan, Arizona, Japan). Combined with Samsung, Intel, and Rapidus at advanced nodes, the proliferation of foundries requiring IP enablement is a structural tailwind for CDNS's IP business — consistent with management's commentary on the record foundry IP deal.</w:t>
      </w:r>
    </w:p>
    <w:p>
      <w:pPr>
        <w:pStyle w:val="ListBullet"/>
        <w:ind w:left="360" w:hanging="360"/>
      </w:pPr>
      <w:r>
        <w:rPr>
          <w:rFonts w:ascii="Calibri" w:hAnsi="Calibri"/>
          <w:b/>
          <w:color w:val="525866"/>
          <w:sz w:val="22"/>
        </w:rPr>
        <w:t xml:space="preserve">Demand strong through 2029–2030: </w:t>
      </w:r>
      <w:r>
        <w:rPr>
          <w:rFonts w:ascii="Calibri" w:hAnsi="Calibri"/>
          <w:color w:val="525866"/>
          <w:sz w:val="22"/>
        </w:rPr>
        <w:t>TSMC CEO Wei stated: "I believe from this day on all the way to probably 2029, 2030, the demand is very strong." This multi-year visibility supports CDNS's record $8B backlog and management's confidence in sustained double-digit growth.</w:t>
      </w:r>
    </w:p>
    <w:p>
      <w:pPr>
        <w:pStyle w:val="Heading3"/>
      </w:pPr>
      <w:r>
        <w:rPr>
          <w:rFonts w:ascii="Calibri" w:hAnsi="Calibri"/>
          <w:b/>
          <w:color w:val="3B4259"/>
          <w:sz w:val="24"/>
        </w:rPr>
        <w:t>ASML — Q2 2026 Earnings (July 15, 2026)</w:t>
      </w:r>
    </w:p>
    <w:p>
      <w:r>
        <w:rPr>
          <w:rFonts w:ascii="Calibri" w:hAnsi="Calibri"/>
          <w:b/>
          <w:color w:val="525866"/>
          <w:sz w:val="22"/>
        </w:rPr>
        <w:t xml:space="preserve">Read-Through Signal: </w:t>
      </w:r>
      <w:r>
        <w:rPr>
          <w:rFonts w:ascii="Calibri" w:hAnsi="Calibri"/>
          <w:color w:val="525866"/>
          <w:sz w:val="22"/>
        </w:rPr>
        <w:t>Positive for CDNS — ASML's raised guidance and accelerating EUV capacity expansion confirm the multi-year advanced node investment cycle that drives EDA demand.</w:t>
      </w:r>
    </w:p>
    <w:p>
      <w:pPr>
        <w:pStyle w:val="ListBullet"/>
        <w:ind w:left="360" w:hanging="360"/>
      </w:pPr>
      <w:r>
        <w:rPr>
          <w:rFonts w:ascii="Calibri" w:hAnsi="Calibri"/>
          <w:b/>
          <w:color w:val="525866"/>
          <w:sz w:val="22"/>
        </w:rPr>
        <w:t xml:space="preserve">Full-year 2026 guidance raised to €43–45B: </w:t>
      </w:r>
      <w:r>
        <w:rPr>
          <w:rFonts w:ascii="Calibri" w:hAnsi="Calibri"/>
          <w:color w:val="525866"/>
          <w:sz w:val="22"/>
        </w:rPr>
        <w:t>ASML raised its FY2026 revenue guidance on "continued strong momentum in customer demand" and customers "aggressively adding capacity on leading edge nodes." Advanced Logic foundry net system sales expected to grow &gt;25% in 2026; memory net system sales &gt;75%. This level of fab investment drives sustained chip design activity.</w:t>
      </w:r>
    </w:p>
    <w:p>
      <w:pPr>
        <w:pStyle w:val="ListBullet"/>
        <w:ind w:left="360" w:hanging="360"/>
      </w:pPr>
      <w:r>
        <w:rPr>
          <w:rFonts w:ascii="Calibri" w:hAnsi="Calibri"/>
          <w:b/>
          <w:color w:val="525866"/>
          <w:sz w:val="22"/>
        </w:rPr>
        <w:t xml:space="preserve">2nm node ramping rapidly; 1.4nm investments already underway: </w:t>
      </w:r>
      <w:r>
        <w:rPr>
          <w:rFonts w:ascii="Calibri" w:hAnsi="Calibri"/>
          <w:color w:val="525866"/>
          <w:sz w:val="22"/>
        </w:rPr>
        <w:t>ASML confirmed "the two nanometer node continues to ramp rapidly" and customers are "already planning investments to support the development of the 1.4 nanometer nodes." Multi-year design activity at these nodes is ongoing — directly positive for CDNS EDA and IP.</w:t>
      </w:r>
    </w:p>
    <w:p>
      <w:pPr>
        <w:pStyle w:val="ListBullet"/>
        <w:ind w:left="360" w:hanging="360"/>
      </w:pPr>
      <w:r>
        <w:rPr>
          <w:rFonts w:ascii="Calibri" w:hAnsi="Calibri"/>
          <w:b/>
          <w:color w:val="525866"/>
          <w:sz w:val="22"/>
        </w:rPr>
        <w:t xml:space="preserve">Order momentum "extremely strong" through H1 2026; backlog continuously increasing: </w:t>
      </w:r>
      <w:r>
        <w:rPr>
          <w:rFonts w:ascii="Calibri" w:hAnsi="Calibri"/>
          <w:color w:val="525866"/>
          <w:sz w:val="22"/>
        </w:rPr>
        <w:t>ASML's order book is nearly fully covered for 2027 Low-NA EUV and has "already received a significant number" of 2028 orders. This multi-year visibility mirrors CDNS's own record backlog and confirms the structural nature of the AI-driven semiconductor investment cycle.</w:t>
      </w:r>
    </w:p>
    <w:p>
      <w:pPr>
        <w:pStyle w:val="ListBullet"/>
        <w:ind w:left="360" w:hanging="360"/>
      </w:pPr>
      <w:r>
        <w:rPr>
          <w:rFonts w:ascii="Calibri" w:hAnsi="Calibri"/>
          <w:b/>
          <w:color w:val="525866"/>
          <w:sz w:val="22"/>
        </w:rPr>
        <w:t xml:space="preserve">Intel 18A using ASML High-NA EUV in production: </w:t>
      </w:r>
      <w:r>
        <w:rPr>
          <w:rFonts w:ascii="Calibri" w:hAnsi="Calibri"/>
          <w:color w:val="525866"/>
          <w:sz w:val="22"/>
        </w:rPr>
        <w:t>ASML announced Intel Foundry is using High-NA EUV on Intel 18A to produce Intel Core Ultra processors — "the strongest sign so far that we are getting there" on High-NA maturity. Intel 18A/14A ramp is a positive for CDNS's Intel Foundry IP collaboration announced June 8, 2026.</w:t>
      </w:r>
    </w:p>
    <w:p>
      <w:pPr>
        <w:pStyle w:val="Heading3"/>
      </w:pPr>
      <w:r>
        <w:rPr>
          <w:rFonts w:ascii="Calibri" w:hAnsi="Calibri"/>
          <w:b/>
          <w:color w:val="3B4259"/>
          <w:sz w:val="24"/>
        </w:rPr>
        <w:t>ARM Holdings (ARM) — Q4 FY2026 Earnings (May 6, 2026)</w:t>
      </w:r>
    </w:p>
    <w:p>
      <w:r>
        <w:rPr>
          <w:rFonts w:ascii="Calibri" w:hAnsi="Calibri"/>
          <w:b/>
          <w:color w:val="525866"/>
          <w:sz w:val="22"/>
        </w:rPr>
        <w:t xml:space="preserve">Read-Through Signal: </w:t>
      </w:r>
      <w:r>
        <w:rPr>
          <w:rFonts w:ascii="Calibri" w:hAnsi="Calibri"/>
          <w:color w:val="525866"/>
          <w:sz w:val="22"/>
        </w:rPr>
        <w:t>Positive for CDNS — ARM's record licensing growth and hyperscaler custom silicon momentum confirm sustained chip design investment; ARM explicitly named Cadence as a key EDA ecosystem partner.</w:t>
      </w:r>
    </w:p>
    <w:p>
      <w:pPr>
        <w:pStyle w:val="ListBullet"/>
        <w:ind w:left="360" w:hanging="360"/>
      </w:pPr>
      <w:r>
        <w:rPr>
          <w:rFonts w:ascii="Calibri" w:hAnsi="Calibri"/>
          <w:b/>
          <w:color w:val="525866"/>
          <w:sz w:val="22"/>
        </w:rPr>
        <w:t xml:space="preserve">ARM explicitly named Cadence as a key EDA ecosystem partner: </w:t>
      </w:r>
      <w:r>
        <w:rPr>
          <w:rFonts w:ascii="Calibri" w:hAnsi="Calibri"/>
          <w:color w:val="525866"/>
          <w:sz w:val="22"/>
        </w:rPr>
        <w:t>ARM CEO Rene Haas stated: "That ecosystem is EDA partners like Synopsys and Cadence." This confirms CDNS's central role in the ARM-based chip design ecosystem, which is growing rapidly as hyperscalers adopt ARM-based custom silicon.</w:t>
      </w:r>
    </w:p>
    <w:p>
      <w:pPr>
        <w:pStyle w:val="ListBullet"/>
        <w:ind w:left="360" w:hanging="360"/>
      </w:pPr>
      <w:r>
        <w:rPr>
          <w:rFonts w:ascii="Calibri" w:hAnsi="Calibri"/>
          <w:b/>
          <w:color w:val="525866"/>
          <w:sz w:val="22"/>
        </w:rPr>
        <w:t xml:space="preserve">Licensing revenue +29% YoY; ACV +22% YoY — design activity accelerating: </w:t>
      </w:r>
      <w:r>
        <w:rPr>
          <w:rFonts w:ascii="Calibri" w:hAnsi="Calibri"/>
          <w:color w:val="525866"/>
          <w:sz w:val="22"/>
        </w:rPr>
        <w:t>ARM's record Q4 licensing revenue of $819M (+29% YoY) and ACV growth of 22% YoY reflect accelerating chip design commitments. Each new ARM license represents a new chip design project that will use CDNS EDA tools and IP.</w:t>
      </w:r>
    </w:p>
    <w:p>
      <w:pPr>
        <w:pStyle w:val="ListBullet"/>
        <w:ind w:left="360" w:hanging="360"/>
      </w:pPr>
      <w:r>
        <w:rPr>
          <w:rFonts w:ascii="Calibri" w:hAnsi="Calibri"/>
          <w:b/>
          <w:color w:val="525866"/>
          <w:sz w:val="22"/>
        </w:rPr>
        <w:t xml:space="preserve">Data center royalty revenue more than doubled YoY: </w:t>
      </w:r>
      <w:r>
        <w:rPr>
          <w:rFonts w:ascii="Calibri" w:hAnsi="Calibri"/>
          <w:color w:val="525866"/>
          <w:sz w:val="22"/>
        </w:rPr>
        <w:t>ARM's data center royalty revenue "more than doubled year-on-year" driven by hyperscaler ARM-based custom silicon (Google Axion, AWS Graviton, Microsoft Cobalt, NVIDIA Vera). These are all active chip design programs using CDNS tools.</w:t>
      </w:r>
    </w:p>
    <w:p>
      <w:pPr>
        <w:pStyle w:val="ListBullet"/>
        <w:ind w:left="360" w:hanging="360"/>
      </w:pPr>
      <w:r>
        <w:rPr>
          <w:rFonts w:ascii="Calibri" w:hAnsi="Calibri"/>
          <w:b/>
          <w:color w:val="525866"/>
          <w:sz w:val="22"/>
        </w:rPr>
        <w:t xml:space="preserve">Agentic AI driving CPU demand explosion: </w:t>
      </w:r>
      <w:r>
        <w:rPr>
          <w:rFonts w:ascii="Calibri" w:hAnsi="Calibri"/>
          <w:color w:val="525866"/>
          <w:sz w:val="22"/>
        </w:rPr>
        <w:t>ARM noted agentic workloads require CPUs to "coordinate tasks, manage memory, enforce security, and orchestrate accelerators," projecting data centers will need &gt;4x today's CPU capacity by 2030. More CPU designs = more EDA tool consumption. ARM's AGI CPU (136 cores, with potential for 256–512 cores) represents a new wave of complex chip design.</w:t>
      </w:r>
    </w:p>
    <w:p>
      <w:pPr>
        <w:pStyle w:val="ListBullet"/>
        <w:ind w:left="360" w:hanging="360"/>
      </w:pPr>
      <w:r>
        <w:rPr>
          <w:rFonts w:ascii="Calibri" w:hAnsi="Calibri"/>
          <w:b/>
          <w:color w:val="525866"/>
          <w:sz w:val="22"/>
        </w:rPr>
        <w:t xml:space="preserve">$2B+ in AGI CPU demand for FY2027–2028: </w:t>
      </w:r>
      <w:r>
        <w:rPr>
          <w:rFonts w:ascii="Calibri" w:hAnsi="Calibri"/>
          <w:color w:val="525866"/>
          <w:sz w:val="22"/>
        </w:rPr>
        <w:t>ARM has secured &gt;$2B in customer demand for its AGI CPU across FY2027–2028 (double the $1B announced at launch). Each AGI CPU design engagement requires extensive EDA tool usage, hardware emulation, and IP — a multi-year CDNS revenue opportunity.</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17 Kimi K3/Moonshot AI EDA moat scare, which drove a ~11% single-day selloff in CDNS despite being based on a 45nm simulation — management's response on the Q2 call will be closely watched; separately, the Intel Foundry DTCO collaboration announced June 8 is a concrete positive catalyst.</w:t>
      </w:r>
    </w:p>
    <w:p>
      <w:pPr>
        <w:pStyle w:val="ListBullet"/>
        <w:ind w:left="360" w:hanging="360"/>
      </w:pPr>
      <w:r>
        <w:rPr>
          <w:rFonts w:ascii="Calibri" w:hAnsi="Calibri"/>
          <w:b/>
          <w:color w:val="525866"/>
          <w:sz w:val="22"/>
        </w:rPr>
        <w:t>July 17, 2026 — Moonshot AI / Kimi K3 EDA Moat Scare (</w:t>
      </w:r>
      <w:r>
        <w:rPr>
          <w:rFonts w:ascii="Calibri" w:hAnsi="Calibri"/>
          <w:b/>
          <w:color w:val="E5484D"/>
          <w:sz w:val="22"/>
        </w:rPr>
        <w:t>NEGATIVE SENTIMENT, LIKELY OVERDONE</w:t>
      </w:r>
      <w:r>
        <w:rPr>
          <w:rFonts w:ascii="Calibri" w:hAnsi="Calibri"/>
          <w:b/>
          <w:color w:val="525866"/>
          <w:sz w:val="22"/>
        </w:rPr>
        <w:t xml:space="preserve">): </w:t>
      </w:r>
      <w:r>
        <w:rPr>
          <w:rFonts w:ascii="Calibri" w:hAnsi="Calibri"/>
          <w:color w:val="525866"/>
          <w:sz w:val="22"/>
        </w:rPr>
        <w:t>Moonshot AI unveiled Kimi K3, claiming the model autonomously designed a chip using open-source EDA tools. CDNS fell ~11% and SNPS fell ~8–10% in a single session, with combined EDA market cap losses of ~$15.8B. Critical context: the Kimi K3 demo used a 45nm simulated design — not fabricated leading-edge silicon — and open-source EDA tools are not competitive at advanced nodes (2nm, 3nm) where CDNS dominates. Management's Q2 call response to this narrative will be a key stock catalyst.</w:t>
      </w:r>
    </w:p>
    <w:p>
      <w:pPr>
        <w:pStyle w:val="ListBullet"/>
        <w:ind w:left="360" w:hanging="360"/>
      </w:pPr>
      <w:r>
        <w:rPr>
          <w:rFonts w:ascii="Calibri" w:hAnsi="Calibri"/>
          <w:b/>
          <w:color w:val="525866"/>
          <w:sz w:val="22"/>
        </w:rPr>
        <w:t>June 8, 2026 — Cadence Announces Multi-Year Intel Foundry DTCO Collaboration (</w:t>
      </w:r>
      <w:r>
        <w:rPr>
          <w:rFonts w:ascii="Calibri" w:hAnsi="Calibri"/>
          <w:b/>
          <w:color w:val="30A46C"/>
          <w:sz w:val="22"/>
        </w:rPr>
        <w:t>POSITIVE</w:t>
      </w:r>
      <w:r>
        <w:rPr>
          <w:rFonts w:ascii="Calibri" w:hAnsi="Calibri"/>
          <w:b/>
          <w:color w:val="525866"/>
          <w:sz w:val="22"/>
        </w:rPr>
        <w:t xml:space="preserve">): </w:t>
      </w:r>
      <w:r>
        <w:rPr>
          <w:rFonts w:ascii="Calibri" w:hAnsi="Calibri"/>
          <w:color w:val="525866"/>
          <w:sz w:val="22"/>
        </w:rPr>
        <w:t>Cadence announced a formal multi-year expanded collaboration with Intel Foundry on Design Technology Co-Optimization (DTCO) beginning with Intel 14A, covering IP readiness and design enablement for HPC and mobile designs. This is the concrete step-up in the Intel foundry relationship that CEO Devgan had been signaling at conferences, and represents a new IP revenue opportunity at a major advanced node customer.</w:t>
      </w:r>
    </w:p>
    <w:p>
      <w:pPr>
        <w:pStyle w:val="ListBullet"/>
        <w:ind w:left="360" w:hanging="360"/>
      </w:pPr>
      <w:r>
        <w:rPr>
          <w:rFonts w:ascii="Calibri" w:hAnsi="Calibri"/>
          <w:b/>
          <w:color w:val="525866"/>
          <w:sz w:val="22"/>
        </w:rPr>
        <w:t>May 27, 2026 — Synopsys Q2 FY2026 Beat &amp; Guidance Raise (</w:t>
      </w:r>
      <w:r>
        <w:rPr>
          <w:rFonts w:ascii="Calibri" w:hAnsi="Calibri"/>
          <w:b/>
          <w:color w:val="30A46C"/>
          <w:sz w:val="22"/>
        </w:rPr>
        <w:t>POSITIVE READ-THROUGH</w:t>
      </w:r>
      <w:r>
        <w:rPr>
          <w:rFonts w:ascii="Calibri" w:hAnsi="Calibri"/>
          <w:b/>
          <w:color w:val="525866"/>
          <w:sz w:val="22"/>
        </w:rPr>
        <w:t xml:space="preserve">): </w:t>
      </w:r>
      <w:r>
        <w:rPr>
          <w:rFonts w:ascii="Calibri" w:hAnsi="Calibri"/>
          <w:color w:val="525866"/>
          <w:sz w:val="22"/>
        </w:rPr>
        <w:t>SNPS reported Q2 revenue of $2.28B (+42% YoY) and non-GAAP EPS of $3.35, both ahead of consensus, and raised full-year guidance. Design Automation was strong; hardware emulation was the key growth driver. Validates the EDA demand environment heading into CDNS Q2.</w:t>
      </w:r>
    </w:p>
    <w:p>
      <w:pPr>
        <w:pStyle w:val="ListBullet"/>
        <w:ind w:left="360" w:hanging="360"/>
      </w:pPr>
      <w:r>
        <w:rPr>
          <w:rFonts w:ascii="Calibri" w:hAnsi="Calibri"/>
          <w:b/>
          <w:color w:val="525866"/>
          <w:sz w:val="22"/>
        </w:rPr>
        <w:t>May 26, 2026 — Cadence CEO Presents at BofA Securities Conference (</w:t>
      </w:r>
      <w:r>
        <w:rPr>
          <w:rFonts w:ascii="Calibri" w:hAnsi="Calibri"/>
          <w:b/>
          <w:color w:val="30A46C"/>
          <w:sz w:val="22"/>
        </w:rPr>
        <w:t>POSITIVE</w:t>
      </w:r>
      <w:r>
        <w:rPr>
          <w:rFonts w:ascii="Calibri" w:hAnsi="Calibri"/>
          <w:b/>
          <w:color w:val="525866"/>
          <w:sz w:val="22"/>
        </w:rPr>
        <w:t xml:space="preserve">): </w:t>
      </w:r>
      <w:r>
        <w:rPr>
          <w:rFonts w:ascii="Calibri" w:hAnsi="Calibri"/>
          <w:color w:val="525866"/>
          <w:sz w:val="22"/>
        </w:rPr>
        <w:t>CEO Devgan reinforced bullish AI demand narrative, cited hyperscaler verticalization (Google, Xiaomi) and physical AI (BYD, Nio, XPeng, Rivian) as new design activity drivers independent of foundry pricing. Explicitly pushed back on design start concerns. Articulated "star IP" strategy focused on five key interface/memory IPs. No guidance walk-back.</w:t>
      </w:r>
    </w:p>
    <w:p>
      <w:pPr>
        <w:pStyle w:val="ListBullet"/>
        <w:ind w:left="360" w:hanging="360"/>
      </w:pPr>
      <w:r>
        <w:rPr>
          <w:rFonts w:ascii="Calibri" w:hAnsi="Calibri"/>
          <w:b/>
          <w:color w:val="525866"/>
          <w:sz w:val="22"/>
        </w:rPr>
        <w:t>May 20, 2026 — NVIDIA Q1 FY2027 Earnings Beat; Vera Rubin on Track (</w:t>
      </w:r>
      <w:r>
        <w:rPr>
          <w:rFonts w:ascii="Calibri" w:hAnsi="Calibri"/>
          <w:b/>
          <w:color w:val="30A46C"/>
          <w:sz w:val="22"/>
        </w:rPr>
        <w:t>POSITIVE READ-THROUGH</w:t>
      </w:r>
      <w:r>
        <w:rPr>
          <w:rFonts w:ascii="Calibri" w:hAnsi="Calibri"/>
          <w:b/>
          <w:color w:val="525866"/>
          <w:sz w:val="22"/>
        </w:rPr>
        <w:t xml:space="preserve">): </w:t>
      </w:r>
      <w:r>
        <w:rPr>
          <w:rFonts w:ascii="Calibri" w:hAnsi="Calibri"/>
          <w:color w:val="525866"/>
          <w:sz w:val="22"/>
        </w:rPr>
        <w:t>NVDA reported record results and confirmed Vera Rubin production shipments on track for H2 2026. Jensen Huang explicitly named Cadence as a key EDA partner for GPU-accelerated tools. Hyperscale CapEx forecasted to exceed $1T in 2027. Drove the broad AI/EDA rally that lifted CDNS ~19% from May 20 to June 4.</w:t>
      </w:r>
    </w:p>
    <w:p>
      <w:pPr>
        <w:pStyle w:val="ListBullet"/>
        <w:ind w:left="360" w:hanging="360"/>
      </w:pPr>
      <w:r>
        <w:rPr>
          <w:rFonts w:ascii="Calibri" w:hAnsi="Calibri"/>
          <w:b/>
          <w:color w:val="525866"/>
          <w:sz w:val="22"/>
        </w:rPr>
        <w:t>May 11, 2026 — Shareholders Approve 5M Share Increase for Equity Plan (</w:t>
      </w:r>
      <w:r>
        <w:rPr>
          <w:rFonts w:ascii="Calibri" w:hAnsi="Calibri"/>
          <w:color w:val="525866"/>
          <w:sz w:val="22"/>
        </w:rPr>
        <w:t>NEUTRAL</w:t>
      </w:r>
      <w:r>
        <w:rPr>
          <w:rFonts w:ascii="Calibri" w:hAnsi="Calibri"/>
          <w:b/>
          <w:color w:val="525866"/>
          <w:sz w:val="22"/>
        </w:rPr>
        <w:t xml:space="preserve">): </w:t>
      </w:r>
      <w:r>
        <w:rPr>
          <w:rFonts w:ascii="Calibri" w:hAnsi="Calibri"/>
          <w:color w:val="525866"/>
          <w:sz w:val="22"/>
        </w:rPr>
        <w:t>Routine equity plan expansion approved at annual meeting. Modest dilution; consistent with historical practice for employee compensation.</w:t>
      </w:r>
    </w:p>
    <w:p>
      <w:pPr>
        <w:pStyle w:val="ListBullet"/>
        <w:ind w:left="360" w:hanging="360"/>
      </w:pPr>
      <w:r>
        <w:rPr>
          <w:rFonts w:ascii="Calibri" w:hAnsi="Calibri"/>
          <w:b/>
          <w:color w:val="525866"/>
          <w:sz w:val="22"/>
        </w:rPr>
        <w:t>May 6, 2026 — ARM Q4 FY2026 Record Results; Named Cadence as EDA Partner (</w:t>
      </w:r>
      <w:r>
        <w:rPr>
          <w:rFonts w:ascii="Calibri" w:hAnsi="Calibri"/>
          <w:b/>
          <w:color w:val="30A46C"/>
          <w:sz w:val="22"/>
        </w:rPr>
        <w:t>POSITIVE READ-THROUGH</w:t>
      </w:r>
      <w:r>
        <w:rPr>
          <w:rFonts w:ascii="Calibri" w:hAnsi="Calibri"/>
          <w:b/>
          <w:color w:val="525866"/>
          <w:sz w:val="22"/>
        </w:rPr>
        <w:t xml:space="preserve">): </w:t>
      </w:r>
      <w:r>
        <w:rPr>
          <w:rFonts w:ascii="Calibri" w:hAnsi="Calibri"/>
          <w:color w:val="525866"/>
          <w:sz w:val="22"/>
        </w:rPr>
        <w:t>ARM reported record licensing revenue (+29% YoY) and ACV growth (+22% YoY). CEO Haas explicitly named Cadence as a key EDA ecosystem partner. Data center royalty revenue more than doubled YoY. Confirms sustained custom silicon design investment.</w:t>
      </w:r>
    </w:p>
    <w:p>
      <w:pPr>
        <w:pStyle w:val="ListBullet"/>
        <w:ind w:left="360" w:hanging="360"/>
      </w:pPr>
      <w:r>
        <w:rPr>
          <w:rFonts w:ascii="Calibri" w:hAnsi="Calibri"/>
          <w:b/>
          <w:color w:val="525866"/>
          <w:sz w:val="22"/>
        </w:rPr>
        <w:t>May 5, 2026 — AMD Q1 2026 Earnings; AI Demand Robust (</w:t>
      </w:r>
      <w:r>
        <w:rPr>
          <w:rFonts w:ascii="Calibri" w:hAnsi="Calibri"/>
          <w:b/>
          <w:color w:val="30A46C"/>
          <w:sz w:val="22"/>
        </w:rPr>
        <w:t>POSITIVE READ-THROUGH</w:t>
      </w:r>
      <w:r>
        <w:rPr>
          <w:rFonts w:ascii="Calibri" w:hAnsi="Calibri"/>
          <w:b/>
          <w:color w:val="525866"/>
          <w:sz w:val="22"/>
        </w:rPr>
        <w:t xml:space="preserve">): </w:t>
      </w:r>
      <w:r>
        <w:rPr>
          <w:rFonts w:ascii="Calibri" w:hAnsi="Calibri"/>
          <w:color w:val="525866"/>
          <w:sz w:val="22"/>
        </w:rPr>
        <w:t>AMD reported strong AI GPU demand and confirmed continued investment in custom silicon design. AMD is a major CDNS customer for EDA tools and hardware emulation.</w:t>
      </w:r>
    </w:p>
    <w:p>
      <w:pPr>
        <w:pStyle w:val="ListBullet"/>
        <w:ind w:left="360" w:hanging="360"/>
      </w:pPr>
      <w:r>
        <w:rPr>
          <w:rFonts w:ascii="Calibri" w:hAnsi="Calibri"/>
          <w:b/>
          <w:color w:val="525866"/>
          <w:sz w:val="22"/>
        </w:rPr>
        <w:t>Computex 2026 (Late May) — Cadence Extends ChipStack to Level-5 Autonomy (</w:t>
      </w:r>
      <w:r>
        <w:rPr>
          <w:rFonts w:ascii="Calibri" w:hAnsi="Calibri"/>
          <w:b/>
          <w:color w:val="30A46C"/>
          <w:sz w:val="22"/>
        </w:rPr>
        <w:t>POSITIVE</w:t>
      </w:r>
      <w:r>
        <w:rPr>
          <w:rFonts w:ascii="Calibri" w:hAnsi="Calibri"/>
          <w:b/>
          <w:color w:val="525866"/>
          <w:sz w:val="22"/>
        </w:rPr>
        <w:t xml:space="preserve">): </w:t>
      </w:r>
      <w:r>
        <w:rPr>
          <w:rFonts w:ascii="Calibri" w:hAnsi="Calibri"/>
          <w:color w:val="525866"/>
          <w:sz w:val="22"/>
        </w:rPr>
        <w:t>Cadence announced the industry's first fully autonomous virtual engineer by extending ChipStack to Level-5 autonomy, built with NVIDIA Nemotron models and secured by NVIDIA OpenShell runtime. Early-access availability expected in H2 2026. Reinforces agentic AI monetization narrative and NVIDIA partnership depth.</w:t>
      </w:r>
    </w:p>
    <w:p>
      <w:pPr>
        <w:pStyle w:val="ListBullet"/>
        <w:ind w:left="360" w:hanging="360"/>
      </w:pPr>
      <w:r>
        <w:rPr>
          <w:rFonts w:ascii="Calibri" w:hAnsi="Calibri"/>
          <w:b/>
          <w:color w:val="525866"/>
          <w:sz w:val="22"/>
        </w:rPr>
        <w:t xml:space="preserve">Analyst Activity — Post-Q1 Ratings: </w:t>
      </w:r>
      <w:r>
        <w:rPr>
          <w:rFonts w:ascii="Calibri" w:hAnsi="Calibri"/>
          <w:color w:val="525866"/>
          <w:sz w:val="22"/>
        </w:rPr>
        <w:t>Multiple analysts maintained Buy/Outperform ratings post-Q1 earnings. Following the July 17 Kimi K3 selloff, Benchmark upgraded SNPS to Strong Buy, signaling analyst community views the EDA moat scare as overdone. CDNS consensus price target remains well above current levels (~$570 per MarketBeat data for SNPS; CDNS targets similarly constructive).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10b5-1 planned sales — no discretionary selling and no open-market purchases; the pattern is routine and does not signal any negative insider view on the upcoming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Teng Chin-Chi</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4,500</w:t>
            </w:r>
          </w:p>
        </w:tc>
        <w:tc>
          <w:tcPr>
            <w:tcW w:type="dxa" w:w="1234"/>
          </w:tcPr>
          <w:p>
            <w:r>
              <w:rPr>
                <w:rFonts w:ascii="Calibri" w:hAnsi="Calibri"/>
                <w:sz w:val="22"/>
              </w:rPr>
              <w:t>~$1.51M</w:t>
            </w:r>
          </w:p>
        </w:tc>
        <w:tc>
          <w:tcPr>
            <w:tcW w:type="dxa" w:w="1234"/>
          </w:tcPr>
          <w:p>
            <w:r>
              <w:rPr>
                <w:rFonts w:ascii="Calibri" w:hAnsi="Calibri"/>
                <w:sz w:val="22"/>
              </w:rPr>
              <w:t>Jul 22, 2026</w:t>
            </w:r>
          </w:p>
        </w:tc>
        <w:tc>
          <w:tcPr>
            <w:tcW w:type="dxa" w:w="1234"/>
          </w:tcPr>
          <w:p>
            <w:r>
              <w:rPr>
                <w:rFonts w:ascii="Calibri" w:hAnsi="Calibri"/>
                <w:sz w:val="22"/>
              </w:rPr>
              <w:t>Pre-planned; 3% of holdings; second consecutive monthly sale of same size</w:t>
            </w:r>
          </w:p>
        </w:tc>
      </w:tr>
      <w:tr>
        <w:tc>
          <w:tcPr>
            <w:tcW w:type="dxa" w:w="1234"/>
          </w:tcPr>
          <w:p>
            <w:r>
              <w:rPr>
                <w:rFonts w:ascii="Calibri" w:hAnsi="Calibri"/>
                <w:sz w:val="22"/>
              </w:rPr>
              <w:t>Cunningham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2,000</w:t>
            </w:r>
          </w:p>
        </w:tc>
        <w:tc>
          <w:tcPr>
            <w:tcW w:type="dxa" w:w="1234"/>
          </w:tcPr>
          <w:p>
            <w:r>
              <w:rPr>
                <w:rFonts w:ascii="Calibri" w:hAnsi="Calibri"/>
                <w:sz w:val="22"/>
              </w:rPr>
              <w:t>~$767K</w:t>
            </w:r>
          </w:p>
        </w:tc>
        <w:tc>
          <w:tcPr>
            <w:tcW w:type="dxa" w:w="1234"/>
          </w:tcPr>
          <w:p>
            <w:r>
              <w:rPr>
                <w:rFonts w:ascii="Calibri" w:hAnsi="Calibri"/>
                <w:sz w:val="22"/>
              </w:rPr>
              <w:t>Jul 15, 2026</w:t>
            </w:r>
          </w:p>
        </w:tc>
        <w:tc>
          <w:tcPr>
            <w:tcW w:type="dxa" w:w="1234"/>
          </w:tcPr>
          <w:p>
            <w:r>
              <w:rPr>
                <w:rFonts w:ascii="Calibri" w:hAnsi="Calibri"/>
                <w:sz w:val="22"/>
              </w:rPr>
              <w:t>Pre-planned; 2% of holdings; recurring monthly sale pattern</w:t>
            </w:r>
          </w:p>
        </w:tc>
      </w:tr>
      <w:tr>
        <w:tc>
          <w:tcPr>
            <w:tcW w:type="dxa" w:w="1234"/>
          </w:tcPr>
          <w:p>
            <w:r>
              <w:rPr>
                <w:rFonts w:ascii="Calibri" w:hAnsi="Calibri"/>
                <w:sz w:val="22"/>
              </w:rPr>
              <w:t>Teng Chin-Chi</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4,500</w:t>
            </w:r>
          </w:p>
        </w:tc>
        <w:tc>
          <w:tcPr>
            <w:tcW w:type="dxa" w:w="1234"/>
          </w:tcPr>
          <w:p>
            <w:r>
              <w:rPr>
                <w:rFonts w:ascii="Calibri" w:hAnsi="Calibri"/>
                <w:sz w:val="22"/>
              </w:rPr>
              <w:t>~$1.67M</w:t>
            </w:r>
          </w:p>
        </w:tc>
        <w:tc>
          <w:tcPr>
            <w:tcW w:type="dxa" w:w="1234"/>
          </w:tcPr>
          <w:p>
            <w:r>
              <w:rPr>
                <w:rFonts w:ascii="Calibri" w:hAnsi="Calibri"/>
                <w:sz w:val="22"/>
              </w:rPr>
              <w:t>Jun 22, 2026</w:t>
            </w:r>
          </w:p>
        </w:tc>
        <w:tc>
          <w:tcPr>
            <w:tcW w:type="dxa" w:w="1234"/>
          </w:tcPr>
          <w:p>
            <w:r>
              <w:rPr>
                <w:rFonts w:ascii="Calibri" w:hAnsi="Calibri"/>
                <w:sz w:val="22"/>
              </w:rPr>
              <w:t>Pre-planned; consistent with prior month sale</w:t>
            </w:r>
          </w:p>
        </w:tc>
      </w:tr>
      <w:tr>
        <w:tc>
          <w:tcPr>
            <w:tcW w:type="dxa" w:w="1234"/>
          </w:tcPr>
          <w:p>
            <w:r>
              <w:rPr>
                <w:rFonts w:ascii="Calibri" w:hAnsi="Calibri"/>
                <w:sz w:val="22"/>
              </w:rPr>
              <w:t>Cunningham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2,000</w:t>
            </w:r>
          </w:p>
        </w:tc>
        <w:tc>
          <w:tcPr>
            <w:tcW w:type="dxa" w:w="1234"/>
          </w:tcPr>
          <w:p>
            <w:r>
              <w:rPr>
                <w:rFonts w:ascii="Calibri" w:hAnsi="Calibri"/>
                <w:sz w:val="22"/>
              </w:rPr>
              <w:t>~$789K</w:t>
            </w:r>
          </w:p>
        </w:tc>
        <w:tc>
          <w:tcPr>
            <w:tcW w:type="dxa" w:w="1234"/>
          </w:tcPr>
          <w:p>
            <w:r>
              <w:rPr>
                <w:rFonts w:ascii="Calibri" w:hAnsi="Calibri"/>
                <w:sz w:val="22"/>
              </w:rPr>
              <w:t>Jun 15, 2026</w:t>
            </w:r>
          </w:p>
        </w:tc>
        <w:tc>
          <w:tcPr>
            <w:tcW w:type="dxa" w:w="1234"/>
          </w:tcPr>
          <w:p>
            <w:r>
              <w:rPr>
                <w:rFonts w:ascii="Calibri" w:hAnsi="Calibri"/>
                <w:sz w:val="22"/>
              </w:rPr>
              <w:t>Pre-planned; recurring monthly sale pattern</w:t>
            </w:r>
          </w:p>
        </w:tc>
      </w:tr>
      <w:tr>
        <w:tc>
          <w:tcPr>
            <w:tcW w:type="dxa" w:w="1234"/>
          </w:tcPr>
          <w:p>
            <w:r>
              <w:rPr>
                <w:rFonts w:ascii="Calibri" w:hAnsi="Calibri"/>
                <w:sz w:val="22"/>
              </w:rPr>
              <w:t>Plummer James D</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1,511</w:t>
            </w:r>
          </w:p>
        </w:tc>
        <w:tc>
          <w:tcPr>
            <w:tcW w:type="dxa" w:w="1234"/>
          </w:tcPr>
          <w:p>
            <w:r>
              <w:rPr>
                <w:rFonts w:ascii="Calibri" w:hAnsi="Calibri"/>
                <w:sz w:val="22"/>
              </w:rPr>
              <w:t>~$573K</w:t>
            </w:r>
          </w:p>
        </w:tc>
        <w:tc>
          <w:tcPr>
            <w:tcW w:type="dxa" w:w="1234"/>
          </w:tcPr>
          <w:p>
            <w:r>
              <w:rPr>
                <w:rFonts w:ascii="Calibri" w:hAnsi="Calibri"/>
                <w:sz w:val="22"/>
              </w:rPr>
              <w:t>Jun 11, 2026</w:t>
            </w:r>
          </w:p>
        </w:tc>
        <w:tc>
          <w:tcPr>
            <w:tcW w:type="dxa" w:w="1234"/>
          </w:tcPr>
          <w:p>
            <w:r>
              <w:rPr>
                <w:rFonts w:ascii="Calibri" w:hAnsi="Calibri"/>
                <w:sz w:val="22"/>
              </w:rPr>
              <w:t>Pre-planned; indirect (held by trust)</w:t>
            </w:r>
          </w:p>
        </w:tc>
      </w:tr>
      <w:tr>
        <w:tc>
          <w:tcPr>
            <w:tcW w:type="dxa" w:w="1234"/>
          </w:tcPr>
          <w:p>
            <w:r>
              <w:rPr>
                <w:rFonts w:ascii="Calibri" w:hAnsi="Calibri"/>
                <w:sz w:val="22"/>
              </w:rPr>
              <w:t>Brennan Ita M</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180</w:t>
            </w:r>
          </w:p>
        </w:tc>
        <w:tc>
          <w:tcPr>
            <w:tcW w:type="dxa" w:w="1234"/>
          </w:tcPr>
          <w:p>
            <w:r>
              <w:rPr>
                <w:rFonts w:ascii="Calibri" w:hAnsi="Calibri"/>
                <w:sz w:val="22"/>
              </w:rPr>
              <w:t>~$69K</w:t>
            </w:r>
          </w:p>
        </w:tc>
        <w:tc>
          <w:tcPr>
            <w:tcW w:type="dxa" w:w="1234"/>
          </w:tcPr>
          <w:p>
            <w:r>
              <w:rPr>
                <w:rFonts w:ascii="Calibri" w:hAnsi="Calibri"/>
                <w:sz w:val="22"/>
              </w:rPr>
              <w:t>Jun 10, 2026</w:t>
            </w:r>
          </w:p>
        </w:tc>
        <w:tc>
          <w:tcPr>
            <w:tcW w:type="dxa" w:w="1234"/>
          </w:tcPr>
          <w:p>
            <w:r>
              <w:rPr>
                <w:rFonts w:ascii="Calibri" w:hAnsi="Calibri"/>
                <w:sz w:val="22"/>
              </w:rPr>
              <w:t>Pre-planned; small size; routine</w:t>
            </w:r>
          </w:p>
        </w:tc>
      </w:tr>
      <w:tr>
        <w:tc>
          <w:tcPr>
            <w:tcW w:type="dxa" w:w="1234"/>
          </w:tcPr>
          <w:p>
            <w:r>
              <w:rPr>
                <w:rFonts w:ascii="Calibri" w:hAnsi="Calibri"/>
                <w:sz w:val="22"/>
              </w:rPr>
              <w:t>Wall John M</w:t>
            </w:r>
          </w:p>
        </w:tc>
        <w:tc>
          <w:tcPr>
            <w:tcW w:type="dxa" w:w="1234"/>
          </w:tcPr>
          <w:p>
            <w:r>
              <w:rPr>
                <w:rFonts w:ascii="Calibri" w:hAnsi="Calibri"/>
                <w:sz w:val="22"/>
              </w:rPr>
              <w:t>Sr. VP &amp; CFO</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~$1.78M</w:t>
            </w:r>
          </w:p>
        </w:tc>
        <w:tc>
          <w:tcPr>
            <w:tcW w:type="dxa" w:w="1234"/>
          </w:tcPr>
          <w:p>
            <w:r>
              <w:rPr>
                <w:rFonts w:ascii="Calibri" w:hAnsi="Calibri"/>
                <w:sz w:val="22"/>
              </w:rPr>
              <w:t>May 5, 2026</w:t>
            </w:r>
          </w:p>
        </w:tc>
        <w:tc>
          <w:tcPr>
            <w:tcW w:type="dxa" w:w="1234"/>
          </w:tcPr>
          <w:p>
            <w:r>
              <w:rPr>
                <w:rFonts w:ascii="Calibri" w:hAnsi="Calibri"/>
                <w:sz w:val="22"/>
              </w:rPr>
              <w:t>Pre-planned; CFO sale; no discretionary signal</w:t>
            </w:r>
          </w:p>
        </w:tc>
      </w:tr>
      <w:tr>
        <w:tc>
          <w:tcPr>
            <w:tcW w:type="dxa" w:w="1234"/>
          </w:tcPr>
          <w:p>
            <w:r>
              <w:rPr>
                <w:rFonts w:ascii="Calibri" w:hAnsi="Calibri"/>
                <w:sz w:val="22"/>
              </w:rPr>
              <w:t>Cunningham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1,000</w:t>
            </w:r>
          </w:p>
        </w:tc>
        <w:tc>
          <w:tcPr>
            <w:tcW w:type="dxa" w:w="1234"/>
          </w:tcPr>
          <w:p>
            <w:r>
              <w:rPr>
                <w:rFonts w:ascii="Calibri" w:hAnsi="Calibri"/>
                <w:sz w:val="22"/>
              </w:rPr>
              <w:t>~$341K</w:t>
            </w:r>
          </w:p>
        </w:tc>
        <w:tc>
          <w:tcPr>
            <w:tcW w:type="dxa" w:w="1234"/>
          </w:tcPr>
          <w:p>
            <w:r>
              <w:rPr>
                <w:rFonts w:ascii="Calibri" w:hAnsi="Calibri"/>
                <w:sz w:val="22"/>
              </w:rPr>
              <w:t>May 1, 2026</w:t>
            </w:r>
          </w:p>
        </w:tc>
        <w:tc>
          <w:tcPr>
            <w:tcW w:type="dxa" w:w="1234"/>
          </w:tcPr>
          <w:p>
            <w:r>
              <w:rPr>
                <w:rFonts w:ascii="Calibri" w:hAnsi="Calibri"/>
                <w:sz w:val="22"/>
              </w:rPr>
              <w:t>Pre-planned; smaller than subsequent months</w:t>
            </w:r>
          </w:p>
        </w:tc>
      </w:tr>
      <w:tr>
        <w:tc>
          <w:tcPr>
            <w:tcW w:type="dxa" w:w="1234"/>
          </w:tcPr>
          <w:p>
            <w:r>
              <w:rPr>
                <w:rFonts w:ascii="Calibri" w:hAnsi="Calibri"/>
                <w:sz w:val="22"/>
              </w:rPr>
              <w:t>Scannell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10,500</w:t>
            </w:r>
          </w:p>
        </w:tc>
        <w:tc>
          <w:tcPr>
            <w:tcW w:type="dxa" w:w="1234"/>
          </w:tcPr>
          <w:p>
            <w:r>
              <w:rPr>
                <w:rFonts w:ascii="Calibri" w:hAnsi="Calibri"/>
                <w:sz w:val="22"/>
              </w:rPr>
              <w:t>~$3.58M</w:t>
            </w:r>
          </w:p>
        </w:tc>
        <w:tc>
          <w:tcPr>
            <w:tcW w:type="dxa" w:w="1234"/>
          </w:tcPr>
          <w:p>
            <w:r>
              <w:rPr>
                <w:rFonts w:ascii="Calibri" w:hAnsi="Calibri"/>
                <w:sz w:val="22"/>
              </w:rPr>
              <w:t>May 1, 2026</w:t>
            </w:r>
          </w:p>
        </w:tc>
        <w:tc>
          <w:tcPr>
            <w:tcW w:type="dxa" w:w="1234"/>
          </w:tcPr>
          <w:p>
            <w:r>
              <w:rPr>
                <w:rFonts w:ascii="Calibri" w:hAnsi="Calibri"/>
                <w:sz w:val="22"/>
              </w:rPr>
              <w:t>Pre-planned; largest single transaction in period; routine 10b5-1</w:t>
            </w:r>
          </w:p>
        </w:tc>
      </w:tr>
    </w:tbl>
    <w:p>
      <w:r>
        <w:rPr>
          <w:rFonts w:ascii="Calibri" w:hAnsi="Calibri"/>
          <w:color w:val="525866"/>
          <w:sz w:val="22"/>
        </w:rPr>
        <w:t>Source: SEC Form 4 Filings (Insider Transaction Data). All transactions are 10b5-1 pre-planned sales (transaction code S, disposition D). No open-market discretionary buys or sells were filed in the period. The recurring monthly cadence for Teng and Cunningham is consistent with systematic diversification plans and carries no informational content about the upcoming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