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Cadence Design Systems (CDNS)</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27, 2026  </w:t>
      </w:r>
      <w:r>
        <w:rPr>
          <w:rFonts w:ascii="Calibri" w:hAnsi="Calibri"/>
          <w:b/>
          <w:color w:val="525866"/>
          <w:sz w:val="22"/>
        </w:rPr>
        <w:t xml:space="preserve">  |  Prepared: </w:t>
      </w:r>
      <w:r>
        <w:rPr>
          <w:rFonts w:ascii="Calibri" w:hAnsi="Calibri"/>
          <w:color w:val="525866"/>
          <w:sz w:val="22"/>
        </w:rPr>
        <w:t xml:space="preserve">July 26, 2026  </w:t>
      </w:r>
      <w:r>
        <w:rPr>
          <w:rFonts w:ascii="Calibri" w:hAnsi="Calibri"/>
          <w:b/>
          <w:color w:val="525866"/>
          <w:sz w:val="22"/>
        </w:rPr>
        <w:t xml:space="preserve">  |  Reporting Period: </w:t>
      </w:r>
      <w:r>
        <w:rPr>
          <w:rFonts w:ascii="Calibri" w:hAnsi="Calibri"/>
          <w:color w:val="525866"/>
          <w:sz w:val="22"/>
        </w:rPr>
        <w:t>Q2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bullish — consensus is a manageable bar, backlog provides strong revenue visibility, and peer commentary from Synopsys confirms robust AI-driven EDA demand through the quarter; the primary wildcard is whether Hexagon integration costs and second-half conservatism in guidance overshadow what is likely to be a clean operational beat.</w:t>
      </w:r>
    </w:p>
    <w:p>
      <w:r>
        <w:rPr>
          <w:rFonts w:ascii="Calibri" w:hAnsi="Calibri"/>
          <w:color w:val="525866"/>
          <w:sz w:val="22"/>
        </w:rPr>
        <w:t xml:space="preserve">Heading into Q2 2026, Cadence carries one of the most visible revenue setups in software: a record $8.0 billion backlog exiting Q1 with ~66% of full-year revenue already contracted from beginning backlog, and management guiding Q2 revenue to $1.555–$1.595 billion (midpoint $1.575 billion) against a consensus estimate of $1.577 billion — essentially in-line, leaving the beat/miss outcome dependent on execution rather than demand. </w:t>
      </w:r>
      <w:r>
        <w:rPr>
          <w:rFonts w:ascii="Calibri" w:hAnsi="Calibri"/>
          <w:b/>
          <w:color w:val="525866"/>
          <w:sz w:val="22"/>
        </w:rPr>
        <w:t>Management's tone since the April 27 print has been unambiguously constructive</w:t>
      </w:r>
      <w:r>
        <w:rPr>
          <w:rFonts w:ascii="Calibri" w:hAnsi="Calibri"/>
          <w:color w:val="525866"/>
          <w:sz w:val="22"/>
        </w:rPr>
        <w:t xml:space="preserve">: at the BofA Global Technology Conference (June 3), CEO Anirudh Devgan described the operating environment as "probably the best it has been," with design activity accelerating across hyperscalers, physical AI, and traditional analog/mixed-signal customers. Estimate revisions have been remarkably stable post-Q1 — Q2 non-GAAP EPS consensus has barely moved from $2.049 to $2.049 and revenue from $1.576 billion to $1.577 billion — suggesting the Street is neither chasing upside nor cutting numbers, a neutral-to-positive setup. The stock, however, has given back meaningful ground since its early-June peak near $416 (driven by the ChipStack AI super-agent launch), trading around $326 as of July 24 — a ~12% decline over the past month driven entirely by </w:t>
      </w:r>
      <w:r>
        <w:rPr>
          <w:rFonts w:ascii="Calibri" w:hAnsi="Calibri"/>
          <w:b/>
          <w:color w:val="525866"/>
          <w:sz w:val="22"/>
        </w:rPr>
        <w:t>multiple compression</w:t>
      </w:r>
      <w:r>
        <w:rPr>
          <w:rFonts w:ascii="Calibri" w:hAnsi="Calibri"/>
          <w:color w:val="525866"/>
          <w:sz w:val="22"/>
        </w:rPr>
        <w:t xml:space="preserve"> (NTM EV/EBITDA contracted ~14% over one month) rather than estimate cuts, implying the stock has de-rated ahead of the print and the bar for a positive reaction is lower than it was. The key wildcard is </w:t>
      </w:r>
      <w:r>
        <w:rPr>
          <w:rFonts w:ascii="Calibri" w:hAnsi="Calibri"/>
          <w:b/>
          <w:color w:val="525866"/>
          <w:sz w:val="22"/>
        </w:rPr>
        <w:t>Hexagon integration costs and the first-half revenue weighting of that business</w:t>
      </w:r>
      <w:r>
        <w:rPr>
          <w:rFonts w:ascii="Calibri" w:hAnsi="Calibri"/>
          <w:color w:val="525866"/>
          <w:sz w:val="22"/>
        </w:rPr>
        <w:t>: management guided Hexagon to contribute ~$160 million in 2026 revenue with a 5–10% margin profile, and any shortfall or integration friction could weigh on the full-year EPS guide even if core EDA/IP/hardware deliver.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essentially at the midpoint of guidance on both revenue and EPS, making this a clean execution quarter. </w:t>
      </w:r>
      <w:r>
        <w:rPr>
          <w:rFonts w:ascii="Calibri" w:hAnsi="Calibri"/>
          <w:b/>
          <w:color w:val="525866"/>
          <w:sz w:val="22"/>
        </w:rPr>
        <w:t>Backlog and IP revenue growth are the bigger swing factors</w:t>
      </w:r>
      <w:r>
        <w:rPr>
          <w:rFonts w:ascii="Calibri" w:hAnsi="Calibri"/>
          <w:color w:val="525866"/>
          <w:sz w:val="22"/>
        </w:rPr>
        <w:t xml:space="preserve"> — both have consistently surprised to the upside in recent quarters.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$1,474.2</w:t>
            </w:r>
          </w:p>
        </w:tc>
        <w:tc>
          <w:tcPr>
            <w:tcW w:type="dxa" w:w="1234"/>
          </w:tcPr>
          <w:p>
            <w:r>
              <w:rPr>
                <w:rFonts w:ascii="Calibri" w:hAnsi="Calibri"/>
                <w:sz w:val="22"/>
              </w:rPr>
              <w:t>$1,275.4</w:t>
            </w:r>
          </w:p>
        </w:tc>
        <w:tc>
          <w:tcPr>
            <w:tcW w:type="dxa" w:w="1234"/>
          </w:tcPr>
          <w:p>
            <w:r>
              <w:rPr>
                <w:rFonts w:ascii="Calibri" w:hAnsi="Calibri"/>
                <w:sz w:val="22"/>
              </w:rPr>
              <w:t>$1,576.5</w:t>
            </w:r>
          </w:p>
        </w:tc>
        <w:tc>
          <w:tcPr>
            <w:tcW w:type="dxa" w:w="1234"/>
          </w:tcPr>
          <w:p>
            <w:r>
              <w:rPr>
                <w:rFonts w:ascii="Calibri" w:hAnsi="Calibri"/>
                <w:b/>
                <w:color w:val="30A46C"/>
                <w:sz w:val="22"/>
              </w:rPr>
              <w:t>+23.6%</w:t>
            </w:r>
          </w:p>
        </w:tc>
        <w:tc>
          <w:tcPr>
            <w:tcW w:type="dxa" w:w="1234"/>
          </w:tcPr>
          <w:p>
            <w:r>
              <w:rPr>
                <w:rFonts w:ascii="Calibri" w:hAnsi="Calibri"/>
                <w:sz w:val="22"/>
              </w:rPr>
              <w:t>$1,575.0</w:t>
            </w:r>
          </w:p>
        </w:tc>
        <w:tc>
          <w:tcPr>
            <w:tcW w:type="dxa" w:w="1234"/>
          </w:tcPr>
          <w:p>
            <w:r>
              <w:rPr>
                <w:rFonts w:ascii="Calibri" w:hAnsi="Calibri"/>
                <w:sz w:val="22"/>
              </w:rPr>
              <w:t>+0.1%</w:t>
            </w:r>
          </w:p>
        </w:tc>
      </w:tr>
      <w:tr>
        <w:tc>
          <w:tcPr>
            <w:tcW w:type="dxa" w:w="1234"/>
          </w:tcPr>
          <w:p>
            <w:r>
              <w:rPr>
                <w:rFonts w:ascii="Calibri" w:hAnsi="Calibri"/>
                <w:sz w:val="22"/>
              </w:rPr>
              <w:t>Non-GAAP EPS (Diluted)</w:t>
            </w:r>
          </w:p>
        </w:tc>
        <w:tc>
          <w:tcPr>
            <w:tcW w:type="dxa" w:w="1234"/>
          </w:tcPr>
          <w:p>
            <w:r>
              <w:rPr>
                <w:rFonts w:ascii="Calibri" w:hAnsi="Calibri"/>
                <w:sz w:val="22"/>
              </w:rPr>
              <w:t>$1.96</w:t>
            </w:r>
          </w:p>
        </w:tc>
        <w:tc>
          <w:tcPr>
            <w:tcW w:type="dxa" w:w="1234"/>
          </w:tcPr>
          <w:p>
            <w:r>
              <w:rPr>
                <w:rFonts w:ascii="Calibri" w:hAnsi="Calibri"/>
                <w:sz w:val="22"/>
              </w:rPr>
              <w:t>$1.65</w:t>
            </w:r>
          </w:p>
        </w:tc>
        <w:tc>
          <w:tcPr>
            <w:tcW w:type="dxa" w:w="1234"/>
          </w:tcPr>
          <w:p>
            <w:r>
              <w:rPr>
                <w:rFonts w:ascii="Calibri" w:hAnsi="Calibri"/>
                <w:sz w:val="22"/>
              </w:rPr>
              <w:t>$2.05</w:t>
            </w:r>
          </w:p>
        </w:tc>
        <w:tc>
          <w:tcPr>
            <w:tcW w:type="dxa" w:w="1234"/>
          </w:tcPr>
          <w:p>
            <w:r>
              <w:rPr>
                <w:rFonts w:ascii="Calibri" w:hAnsi="Calibri"/>
                <w:b/>
                <w:color w:val="30A46C"/>
                <w:sz w:val="22"/>
              </w:rPr>
              <w:t>+24.2%</w:t>
            </w:r>
          </w:p>
        </w:tc>
        <w:tc>
          <w:tcPr>
            <w:tcW w:type="dxa" w:w="1234"/>
          </w:tcPr>
          <w:p>
            <w:r>
              <w:rPr>
                <w:rFonts w:ascii="Calibri" w:hAnsi="Calibri"/>
                <w:sz w:val="22"/>
              </w:rPr>
              <w:t>$2.05 (midpoint $2.02–$2.08)</w:t>
            </w:r>
          </w:p>
        </w:tc>
        <w:tc>
          <w:tcPr>
            <w:tcW w:type="dxa" w:w="1234"/>
          </w:tcPr>
          <w:p>
            <w:r>
              <w:rPr>
                <w:rFonts w:ascii="Calibri" w:hAnsi="Calibri"/>
                <w:sz w:val="22"/>
              </w:rPr>
              <w:t>~0%</w:t>
            </w:r>
          </w:p>
        </w:tc>
      </w:tr>
      <w:tr>
        <w:tc>
          <w:tcPr>
            <w:tcW w:type="dxa" w:w="1234"/>
          </w:tcPr>
          <w:p>
            <w:r>
              <w:rPr>
                <w:rFonts w:ascii="Calibri" w:hAnsi="Calibri"/>
                <w:sz w:val="22"/>
              </w:rPr>
              <w:t>Non-GAAP Operating Income ($M)</w:t>
            </w:r>
          </w:p>
        </w:tc>
        <w:tc>
          <w:tcPr>
            <w:tcW w:type="dxa" w:w="1234"/>
          </w:tcPr>
          <w:p>
            <w:r>
              <w:rPr>
                <w:rFonts w:ascii="Calibri" w:hAnsi="Calibri"/>
                <w:sz w:val="22"/>
              </w:rPr>
              <w:t>$658.9</w:t>
            </w:r>
          </w:p>
        </w:tc>
        <w:tc>
          <w:tcPr>
            <w:tcW w:type="dxa" w:w="1234"/>
          </w:tcPr>
          <w:p>
            <w:r>
              <w:rPr>
                <w:rFonts w:ascii="Calibri" w:hAnsi="Calibri"/>
                <w:sz w:val="22"/>
              </w:rPr>
              <w:t>$417.7</w:t>
            </w:r>
          </w:p>
        </w:tc>
        <w:tc>
          <w:tcPr>
            <w:tcW w:type="dxa" w:w="1234"/>
          </w:tcPr>
          <w:p>
            <w:r>
              <w:rPr>
                <w:rFonts w:ascii="Calibri" w:hAnsi="Calibri"/>
                <w:sz w:val="22"/>
              </w:rPr>
              <w:t>$708.9</w:t>
            </w:r>
          </w:p>
        </w:tc>
        <w:tc>
          <w:tcPr>
            <w:tcW w:type="dxa" w:w="1234"/>
          </w:tcPr>
          <w:p>
            <w:r>
              <w:rPr>
                <w:rFonts w:ascii="Calibri" w:hAnsi="Calibri"/>
                <w:b/>
                <w:color w:val="30A46C"/>
                <w:sz w:val="22"/>
              </w:rPr>
              <w:t>+69.7%</w:t>
            </w:r>
          </w:p>
        </w:tc>
        <w:tc>
          <w:tcPr>
            <w:tcW w:type="dxa" w:w="1234"/>
          </w:tcPr>
          <w:p>
            <w:r>
              <w:rPr>
                <w:rFonts w:ascii="Calibri" w:hAnsi="Calibri"/>
                <w:sz w:val="22"/>
              </w:rPr>
              <w:t>~$708M (44.5–45.5% margin)</w:t>
            </w:r>
          </w:p>
        </w:tc>
        <w:tc>
          <w:tcPr>
            <w:tcW w:type="dxa" w:w="1234"/>
          </w:tcPr>
          <w:p>
            <w:r>
              <w:rPr>
                <w:rFonts w:ascii="Calibri" w:hAnsi="Calibri"/>
                <w:sz w:val="22"/>
              </w:rPr>
              <w:t>~0%</w:t>
            </w:r>
          </w:p>
        </w:tc>
      </w:tr>
      <w:tr>
        <w:tc>
          <w:tcPr>
            <w:tcW w:type="dxa" w:w="1234"/>
          </w:tcPr>
          <w:p>
            <w:r>
              <w:rPr>
                <w:rFonts w:ascii="Calibri" w:hAnsi="Calibri"/>
                <w:sz w:val="22"/>
              </w:rPr>
              <w:t>IP Revenue ($M)</w:t>
            </w:r>
          </w:p>
        </w:tc>
        <w:tc>
          <w:tcPr>
            <w:tcW w:type="dxa" w:w="1234"/>
          </w:tcPr>
          <w:p>
            <w:r>
              <w:rPr>
                <w:rFonts w:ascii="Calibri" w:hAnsi="Calibri"/>
                <w:sz w:val="22"/>
              </w:rPr>
              <w:t>$206.4</w:t>
            </w:r>
          </w:p>
        </w:tc>
        <w:tc>
          <w:tcPr>
            <w:tcW w:type="dxa" w:w="1234"/>
          </w:tcPr>
          <w:p>
            <w:r>
              <w:rPr>
                <w:rFonts w:ascii="Calibri" w:hAnsi="Calibri"/>
                <w:sz w:val="22"/>
              </w:rPr>
              <w:t>$165.8</w:t>
            </w:r>
          </w:p>
        </w:tc>
        <w:tc>
          <w:tcPr>
            <w:tcW w:type="dxa" w:w="1234"/>
          </w:tcPr>
          <w:p>
            <w:r>
              <w:rPr>
                <w:rFonts w:ascii="Calibri" w:hAnsi="Calibri"/>
                <w:sz w:val="22"/>
              </w:rPr>
              <w:t>$215.8</w:t>
            </w:r>
          </w:p>
        </w:tc>
        <w:tc>
          <w:tcPr>
            <w:tcW w:type="dxa" w:w="1234"/>
          </w:tcPr>
          <w:p>
            <w:r>
              <w:rPr>
                <w:rFonts w:ascii="Calibri" w:hAnsi="Calibri"/>
                <w:b/>
                <w:color w:val="30A46C"/>
                <w:sz w:val="22"/>
              </w:rPr>
              <w:t>+30.2%</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System Design &amp; Analysis Revenue ($M)</w:t>
            </w:r>
          </w:p>
        </w:tc>
        <w:tc>
          <w:tcPr>
            <w:tcW w:type="dxa" w:w="1234"/>
          </w:tcPr>
          <w:p>
            <w:r>
              <w:rPr>
                <w:rFonts w:ascii="Calibri" w:hAnsi="Calibri"/>
                <w:sz w:val="22"/>
              </w:rPr>
              <w:t>$221.1</w:t>
            </w:r>
          </w:p>
        </w:tc>
        <w:tc>
          <w:tcPr>
            <w:tcW w:type="dxa" w:w="1234"/>
          </w:tcPr>
          <w:p>
            <w:r>
              <w:rPr>
                <w:rFonts w:ascii="Calibri" w:hAnsi="Calibri"/>
                <w:sz w:val="22"/>
              </w:rPr>
              <w:t>$204.1</w:t>
            </w:r>
          </w:p>
        </w:tc>
        <w:tc>
          <w:tcPr>
            <w:tcW w:type="dxa" w:w="1234"/>
          </w:tcPr>
          <w:p>
            <w:r>
              <w:rPr>
                <w:rFonts w:ascii="Calibri" w:hAnsi="Calibri"/>
                <w:sz w:val="22"/>
              </w:rPr>
              <w:t>$268.2</w:t>
            </w:r>
          </w:p>
        </w:tc>
        <w:tc>
          <w:tcPr>
            <w:tcW w:type="dxa" w:w="1234"/>
          </w:tcPr>
          <w:p>
            <w:r>
              <w:rPr>
                <w:rFonts w:ascii="Calibri" w:hAnsi="Calibri"/>
                <w:b/>
                <w:color w:val="30A46C"/>
                <w:sz w:val="22"/>
              </w:rPr>
              <w:t>+31.4%</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Backlog / RPO ($B)</w:t>
            </w:r>
          </w:p>
        </w:tc>
        <w:tc>
          <w:tcPr>
            <w:tcW w:type="dxa" w:w="1234"/>
          </w:tcPr>
          <w:p>
            <w:r>
              <w:rPr>
                <w:rFonts w:ascii="Calibri" w:hAnsi="Calibri"/>
                <w:sz w:val="22"/>
              </w:rPr>
              <w:t>$8.0B</w:t>
            </w:r>
          </w:p>
        </w:tc>
        <w:tc>
          <w:tcPr>
            <w:tcW w:type="dxa" w:w="1234"/>
          </w:tcPr>
          <w:p>
            <w:r>
              <w:rPr>
                <w:rFonts w:ascii="Calibri" w:hAnsi="Calibri"/>
                <w:sz w:val="22"/>
              </w:rPr>
              <w:t>$6.4B</w:t>
            </w:r>
          </w:p>
        </w:tc>
        <w:tc>
          <w:tcPr>
            <w:tcW w:type="dxa" w:w="1234"/>
          </w:tcPr>
          <w:p>
            <w:r>
              <w:rPr>
                <w:rFonts w:ascii="Calibri" w:hAnsi="Calibri"/>
                <w:sz w:val="22"/>
              </w:rPr>
              <w:t>$7.89B</w:t>
            </w:r>
          </w:p>
        </w:tc>
        <w:tc>
          <w:tcPr>
            <w:tcW w:type="dxa" w:w="1234"/>
          </w:tcPr>
          <w:p>
            <w:r>
              <w:rPr>
                <w:rFonts w:ascii="Calibri" w:hAnsi="Calibri"/>
                <w:b/>
                <w:color w:val="30A46C"/>
                <w:sz w:val="22"/>
              </w:rPr>
              <w:t>+23.3%</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guidance from Cadence Q1 2026 CFO Commentary (8-K EX-99.02, April 27, 2026). Note: Q2 2026 Non-GAAP Operating Income YoY comparison reflects Hexagon D&amp;E acquisition (closed Q1 2026) adding to SDA segment; organic comparison would be lower.</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Revenue Reported ($M)</w:t>
            </w:r>
          </w:p>
        </w:tc>
        <w:tc>
          <w:tcPr>
            <w:tcW w:type="dxa" w:w="1234"/>
            <w:shd w:val="clear" w:color="auto" w:fill="3B4259"/>
          </w:tcPr>
          <w:p>
            <w:r>
              <w:rPr>
                <w:rFonts w:ascii="Calibri" w:hAnsi="Calibri"/>
                <w:b/>
                <w:color w:val="FFFFFF"/>
                <w:sz w:val="22"/>
              </w:rPr>
              <w:t>Revenue Consensus ($M)</w:t>
            </w:r>
          </w:p>
        </w:tc>
        <w:tc>
          <w:tcPr>
            <w:tcW w:type="dxa" w:w="1234"/>
            <w:shd w:val="clear" w:color="auto" w:fill="3B4259"/>
          </w:tcPr>
          <w:p>
            <w:r>
              <w:rPr>
                <w:rFonts w:ascii="Calibri" w:hAnsi="Calibri"/>
                <w:b/>
                <w:color w:val="FFFFFF"/>
                <w:sz w:val="22"/>
              </w:rPr>
              <w:t>Rev Surprise %</w:t>
            </w:r>
          </w:p>
        </w:tc>
        <w:tc>
          <w:tcPr>
            <w:tcW w:type="dxa" w:w="1234"/>
            <w:shd w:val="clear" w:color="auto" w:fill="3B4259"/>
          </w:tcPr>
          <w:p>
            <w:r>
              <w:rPr>
                <w:rFonts w:ascii="Calibri" w:hAnsi="Calibri"/>
                <w:b/>
                <w:color w:val="FFFFFF"/>
                <w:sz w:val="22"/>
              </w:rPr>
              <w:t>Non-GAAP EPS Reported</w:t>
            </w:r>
          </w:p>
        </w:tc>
        <w:tc>
          <w:tcPr>
            <w:tcW w:type="dxa" w:w="1234"/>
            <w:shd w:val="clear" w:color="auto" w:fill="3B4259"/>
          </w:tcPr>
          <w:p>
            <w:r>
              <w:rPr>
                <w:rFonts w:ascii="Calibri" w:hAnsi="Calibri"/>
                <w:b/>
                <w:color w:val="FFFFFF"/>
                <w:sz w:val="22"/>
              </w:rPr>
              <w:t>Non-GAAP EPS Consensus</w:t>
            </w:r>
          </w:p>
        </w:tc>
        <w:tc>
          <w:tcPr>
            <w:tcW w:type="dxa" w:w="1234"/>
            <w:shd w:val="clear" w:color="auto" w:fill="3B4259"/>
          </w:tcPr>
          <w:p>
            <w:r>
              <w:rPr>
                <w:rFonts w:ascii="Calibri" w:hAnsi="Calibri"/>
                <w:b/>
                <w:color w:val="FFFFFF"/>
                <w:sz w:val="22"/>
              </w:rPr>
              <w:t>EPS Surprise %</w:t>
            </w:r>
          </w:p>
        </w:tc>
      </w:tr>
      <w:tr>
        <w:tc>
          <w:tcPr>
            <w:tcW w:type="dxa" w:w="1234"/>
          </w:tcPr>
          <w:p>
            <w:r>
              <w:rPr>
                <w:rFonts w:ascii="Calibri" w:hAnsi="Calibri"/>
                <w:sz w:val="22"/>
              </w:rPr>
              <w:t>Q1 2026</w:t>
            </w:r>
          </w:p>
        </w:tc>
        <w:tc>
          <w:tcPr>
            <w:tcW w:type="dxa" w:w="1234"/>
          </w:tcPr>
          <w:p>
            <w:r>
              <w:rPr>
                <w:rFonts w:ascii="Calibri" w:hAnsi="Calibri"/>
                <w:sz w:val="22"/>
              </w:rPr>
              <w:t>$1,474.2</w:t>
            </w:r>
          </w:p>
        </w:tc>
        <w:tc>
          <w:tcPr>
            <w:tcW w:type="dxa" w:w="1234"/>
          </w:tcPr>
          <w:p>
            <w:r>
              <w:rPr>
                <w:rFonts w:ascii="Calibri" w:hAnsi="Calibri"/>
                <w:sz w:val="22"/>
              </w:rPr>
              <w:t>$1,446.4</w:t>
            </w:r>
          </w:p>
        </w:tc>
        <w:tc>
          <w:tcPr>
            <w:tcW w:type="dxa" w:w="1234"/>
          </w:tcPr>
          <w:p>
            <w:r>
              <w:rPr>
                <w:rFonts w:ascii="Calibri" w:hAnsi="Calibri"/>
                <w:b/>
                <w:color w:val="30A46C"/>
                <w:sz w:val="22"/>
              </w:rPr>
              <w:t>+1.9%</w:t>
            </w:r>
          </w:p>
        </w:tc>
        <w:tc>
          <w:tcPr>
            <w:tcW w:type="dxa" w:w="1234"/>
          </w:tcPr>
          <w:p>
            <w:r>
              <w:rPr>
                <w:rFonts w:ascii="Calibri" w:hAnsi="Calibri"/>
                <w:sz w:val="22"/>
              </w:rPr>
              <w:t>$1.96</w:t>
            </w:r>
          </w:p>
        </w:tc>
        <w:tc>
          <w:tcPr>
            <w:tcW w:type="dxa" w:w="1234"/>
          </w:tcPr>
          <w:p>
            <w:r>
              <w:rPr>
                <w:rFonts w:ascii="Calibri" w:hAnsi="Calibri"/>
                <w:sz w:val="22"/>
              </w:rPr>
              <w:t>$1.91</w:t>
            </w:r>
          </w:p>
        </w:tc>
        <w:tc>
          <w:tcPr>
            <w:tcW w:type="dxa" w:w="1234"/>
          </w:tcPr>
          <w:p>
            <w:r>
              <w:rPr>
                <w:rFonts w:ascii="Calibri" w:hAnsi="Calibri"/>
                <w:b/>
                <w:color w:val="30A46C"/>
                <w:sz w:val="22"/>
              </w:rPr>
              <w:t>+2.6%</w:t>
            </w:r>
          </w:p>
        </w:tc>
      </w:tr>
      <w:tr>
        <w:tc>
          <w:tcPr>
            <w:tcW w:type="dxa" w:w="1234"/>
          </w:tcPr>
          <w:p>
            <w:r>
              <w:rPr>
                <w:rFonts w:ascii="Calibri" w:hAnsi="Calibri"/>
                <w:sz w:val="22"/>
              </w:rPr>
              <w:t>Q4 2025</w:t>
            </w:r>
          </w:p>
        </w:tc>
        <w:tc>
          <w:tcPr>
            <w:tcW w:type="dxa" w:w="1234"/>
          </w:tcPr>
          <w:p>
            <w:r>
              <w:rPr>
                <w:rFonts w:ascii="Calibri" w:hAnsi="Calibri"/>
                <w:sz w:val="22"/>
              </w:rPr>
              <w:t>$1,440.1</w:t>
            </w:r>
          </w:p>
        </w:tc>
        <w:tc>
          <w:tcPr>
            <w:tcW w:type="dxa" w:w="1234"/>
          </w:tcPr>
          <w:p>
            <w:r>
              <w:rPr>
                <w:rFonts w:ascii="Calibri" w:hAnsi="Calibri"/>
                <w:sz w:val="22"/>
              </w:rPr>
              <w:t>$1,425.4</w:t>
            </w:r>
          </w:p>
        </w:tc>
        <w:tc>
          <w:tcPr>
            <w:tcW w:type="dxa" w:w="1234"/>
          </w:tcPr>
          <w:p>
            <w:r>
              <w:rPr>
                <w:rFonts w:ascii="Calibri" w:hAnsi="Calibri"/>
                <w:b/>
                <w:color w:val="30A46C"/>
                <w:sz w:val="22"/>
              </w:rPr>
              <w:t>+1.0%</w:t>
            </w:r>
          </w:p>
        </w:tc>
        <w:tc>
          <w:tcPr>
            <w:tcW w:type="dxa" w:w="1234"/>
          </w:tcPr>
          <w:p>
            <w:r>
              <w:rPr>
                <w:rFonts w:ascii="Calibri" w:hAnsi="Calibri"/>
                <w:sz w:val="22"/>
              </w:rPr>
              <w:t>$1.99</w:t>
            </w:r>
          </w:p>
        </w:tc>
        <w:tc>
          <w:tcPr>
            <w:tcW w:type="dxa" w:w="1234"/>
          </w:tcPr>
          <w:p>
            <w:r>
              <w:rPr>
                <w:rFonts w:ascii="Calibri" w:hAnsi="Calibri"/>
                <w:sz w:val="22"/>
              </w:rPr>
              <w:t>$1.91</w:t>
            </w:r>
          </w:p>
        </w:tc>
        <w:tc>
          <w:tcPr>
            <w:tcW w:type="dxa" w:w="1234"/>
          </w:tcPr>
          <w:p>
            <w:r>
              <w:rPr>
                <w:rFonts w:ascii="Calibri" w:hAnsi="Calibri"/>
                <w:b/>
                <w:color w:val="30A46C"/>
                <w:sz w:val="22"/>
              </w:rPr>
              <w:t>+4.2%</w:t>
            </w:r>
          </w:p>
        </w:tc>
      </w:tr>
      <w:tr>
        <w:tc>
          <w:tcPr>
            <w:tcW w:type="dxa" w:w="1234"/>
          </w:tcPr>
          <w:p>
            <w:r>
              <w:rPr>
                <w:rFonts w:ascii="Calibri" w:hAnsi="Calibri"/>
                <w:sz w:val="22"/>
              </w:rPr>
              <w:t>Q3 2025</w:t>
            </w:r>
          </w:p>
        </w:tc>
        <w:tc>
          <w:tcPr>
            <w:tcW w:type="dxa" w:w="1234"/>
          </w:tcPr>
          <w:p>
            <w:r>
              <w:rPr>
                <w:rFonts w:ascii="Calibri" w:hAnsi="Calibri"/>
                <w:sz w:val="22"/>
              </w:rPr>
              <w:t>$1,338.8</w:t>
            </w:r>
          </w:p>
        </w:tc>
        <w:tc>
          <w:tcPr>
            <w:tcW w:type="dxa" w:w="1234"/>
          </w:tcPr>
          <w:p>
            <w:r>
              <w:rPr>
                <w:rFonts w:ascii="Calibri" w:hAnsi="Calibri"/>
                <w:sz w:val="22"/>
              </w:rPr>
              <w:t>$1,327.2</w:t>
            </w:r>
          </w:p>
        </w:tc>
        <w:tc>
          <w:tcPr>
            <w:tcW w:type="dxa" w:w="1234"/>
          </w:tcPr>
          <w:p>
            <w:r>
              <w:rPr>
                <w:rFonts w:ascii="Calibri" w:hAnsi="Calibri"/>
                <w:b/>
                <w:color w:val="30A46C"/>
                <w:sz w:val="22"/>
              </w:rPr>
              <w:t>+0.9%</w:t>
            </w:r>
          </w:p>
        </w:tc>
        <w:tc>
          <w:tcPr>
            <w:tcW w:type="dxa" w:w="1234"/>
          </w:tcPr>
          <w:p>
            <w:r>
              <w:rPr>
                <w:rFonts w:ascii="Calibri" w:hAnsi="Calibri"/>
                <w:sz w:val="22"/>
              </w:rPr>
              <w:t>$1.93</w:t>
            </w:r>
          </w:p>
        </w:tc>
        <w:tc>
          <w:tcPr>
            <w:tcW w:type="dxa" w:w="1234"/>
          </w:tcPr>
          <w:p>
            <w:r>
              <w:rPr>
                <w:rFonts w:ascii="Calibri" w:hAnsi="Calibri"/>
                <w:sz w:val="22"/>
              </w:rPr>
              <w:t>$1.80</w:t>
            </w:r>
          </w:p>
        </w:tc>
        <w:tc>
          <w:tcPr>
            <w:tcW w:type="dxa" w:w="1234"/>
          </w:tcPr>
          <w:p>
            <w:r>
              <w:rPr>
                <w:rFonts w:ascii="Calibri" w:hAnsi="Calibri"/>
                <w:b/>
                <w:color w:val="30A46C"/>
                <w:sz w:val="22"/>
              </w:rPr>
              <w:t>+7.2%</w:t>
            </w:r>
          </w:p>
        </w:tc>
      </w:tr>
      <w:tr>
        <w:tc>
          <w:tcPr>
            <w:tcW w:type="dxa" w:w="1234"/>
          </w:tcPr>
          <w:p>
            <w:r>
              <w:rPr>
                <w:rFonts w:ascii="Calibri" w:hAnsi="Calibri"/>
                <w:sz w:val="22"/>
              </w:rPr>
              <w:t>Q2 2025</w:t>
            </w:r>
          </w:p>
        </w:tc>
        <w:tc>
          <w:tcPr>
            <w:tcW w:type="dxa" w:w="1234"/>
          </w:tcPr>
          <w:p>
            <w:r>
              <w:rPr>
                <w:rFonts w:ascii="Calibri" w:hAnsi="Calibri"/>
                <w:sz w:val="22"/>
              </w:rPr>
              <w:t>$1,275.4</w:t>
            </w:r>
          </w:p>
        </w:tc>
        <w:tc>
          <w:tcPr>
            <w:tcW w:type="dxa" w:w="1234"/>
          </w:tcPr>
          <w:p>
            <w:r>
              <w:rPr>
                <w:rFonts w:ascii="Calibri" w:hAnsi="Calibri"/>
                <w:sz w:val="22"/>
              </w:rPr>
              <w:t>$1,252.5</w:t>
            </w:r>
          </w:p>
        </w:tc>
        <w:tc>
          <w:tcPr>
            <w:tcW w:type="dxa" w:w="1234"/>
          </w:tcPr>
          <w:p>
            <w:r>
              <w:rPr>
                <w:rFonts w:ascii="Calibri" w:hAnsi="Calibri"/>
                <w:b/>
                <w:color w:val="30A46C"/>
                <w:sz w:val="22"/>
              </w:rPr>
              <w:t>+1.8%</w:t>
            </w:r>
          </w:p>
        </w:tc>
        <w:tc>
          <w:tcPr>
            <w:tcW w:type="dxa" w:w="1234"/>
          </w:tcPr>
          <w:p>
            <w:r>
              <w:rPr>
                <w:rFonts w:ascii="Calibri" w:hAnsi="Calibri"/>
                <w:sz w:val="22"/>
              </w:rPr>
              <w:t>$1.65</w:t>
            </w:r>
          </w:p>
        </w:tc>
        <w:tc>
          <w:tcPr>
            <w:tcW w:type="dxa" w:w="1234"/>
          </w:tcPr>
          <w:p>
            <w:r>
              <w:rPr>
                <w:rFonts w:ascii="Calibri" w:hAnsi="Calibri"/>
                <w:sz w:val="22"/>
              </w:rPr>
              <w:t>$1.56</w:t>
            </w:r>
          </w:p>
        </w:tc>
        <w:tc>
          <w:tcPr>
            <w:tcW w:type="dxa" w:w="1234"/>
          </w:tcPr>
          <w:p>
            <w:r>
              <w:rPr>
                <w:rFonts w:ascii="Calibri" w:hAnsi="Calibri"/>
                <w:b/>
                <w:color w:val="30A46C"/>
                <w:sz w:val="22"/>
              </w:rPr>
              <w:t>+5.8%</w:t>
            </w:r>
          </w:p>
        </w:tc>
      </w:tr>
      <w:tr>
        <w:tc>
          <w:tcPr>
            <w:tcW w:type="dxa" w:w="1234"/>
          </w:tcPr>
          <w:p>
            <w:r>
              <w:rPr>
                <w:rFonts w:ascii="Calibri" w:hAnsi="Calibri"/>
                <w:sz w:val="22"/>
              </w:rPr>
              <w:t>Q1 2025</w:t>
            </w:r>
          </w:p>
        </w:tc>
        <w:tc>
          <w:tcPr>
            <w:tcW w:type="dxa" w:w="1234"/>
          </w:tcPr>
          <w:p>
            <w:r>
              <w:rPr>
                <w:rFonts w:ascii="Calibri" w:hAnsi="Calibri"/>
                <w:sz w:val="22"/>
              </w:rPr>
              <w:t>$1,242.4</w:t>
            </w:r>
          </w:p>
        </w:tc>
        <w:tc>
          <w:tcPr>
            <w:tcW w:type="dxa" w:w="1234"/>
          </w:tcPr>
          <w:p>
            <w:r>
              <w:rPr>
                <w:rFonts w:ascii="Calibri" w:hAnsi="Calibri"/>
                <w:sz w:val="22"/>
              </w:rPr>
              <w:t>$1,239.9</w:t>
            </w:r>
          </w:p>
        </w:tc>
        <w:tc>
          <w:tcPr>
            <w:tcW w:type="dxa" w:w="1234"/>
          </w:tcPr>
          <w:p>
            <w:r>
              <w:rPr>
                <w:rFonts w:ascii="Calibri" w:hAnsi="Calibri"/>
                <w:b/>
                <w:color w:val="30A46C"/>
                <w:sz w:val="22"/>
              </w:rPr>
              <w:t>+0.2%</w:t>
            </w:r>
          </w:p>
        </w:tc>
        <w:tc>
          <w:tcPr>
            <w:tcW w:type="dxa" w:w="1234"/>
          </w:tcPr>
          <w:p>
            <w:r>
              <w:rPr>
                <w:rFonts w:ascii="Calibri" w:hAnsi="Calibri"/>
                <w:sz w:val="22"/>
              </w:rPr>
              <w:t>$1.57</w:t>
            </w:r>
          </w:p>
        </w:tc>
        <w:tc>
          <w:tcPr>
            <w:tcW w:type="dxa" w:w="1234"/>
          </w:tcPr>
          <w:p>
            <w:r>
              <w:rPr>
                <w:rFonts w:ascii="Calibri" w:hAnsi="Calibri"/>
                <w:sz w:val="22"/>
              </w:rPr>
              <w:t>$1.50</w:t>
            </w:r>
          </w:p>
        </w:tc>
        <w:tc>
          <w:tcPr>
            <w:tcW w:type="dxa" w:w="1234"/>
          </w:tcPr>
          <w:p>
            <w:r>
              <w:rPr>
                <w:rFonts w:ascii="Calibri" w:hAnsi="Calibri"/>
                <w:b/>
                <w:color w:val="30A46C"/>
                <w:sz w:val="22"/>
              </w:rPr>
              <w:t>+4.7%</w:t>
            </w:r>
          </w:p>
        </w:tc>
      </w:tr>
      <w:tr>
        <w:tc>
          <w:tcPr>
            <w:tcW w:type="dxa" w:w="1234"/>
          </w:tcPr>
          <w:p>
            <w:r>
              <w:rPr>
                <w:rFonts w:ascii="Calibri" w:hAnsi="Calibri"/>
                <w:sz w:val="22"/>
              </w:rPr>
              <w:t>Q4 2024</w:t>
            </w:r>
          </w:p>
        </w:tc>
        <w:tc>
          <w:tcPr>
            <w:tcW w:type="dxa" w:w="1234"/>
          </w:tcPr>
          <w:p>
            <w:r>
              <w:rPr>
                <w:rFonts w:ascii="Calibri" w:hAnsi="Calibri"/>
                <w:sz w:val="22"/>
              </w:rPr>
              <w:t>$1,356.0</w:t>
            </w:r>
          </w:p>
        </w:tc>
        <w:tc>
          <w:tcPr>
            <w:tcW w:type="dxa" w:w="1234"/>
          </w:tcPr>
          <w:p>
            <w:r>
              <w:rPr>
                <w:rFonts w:ascii="Calibri" w:hAnsi="Calibri"/>
                <w:sz w:val="22"/>
              </w:rPr>
              <w:t>$1,349.4</w:t>
            </w:r>
          </w:p>
        </w:tc>
        <w:tc>
          <w:tcPr>
            <w:tcW w:type="dxa" w:w="1234"/>
          </w:tcPr>
          <w:p>
            <w:r>
              <w:rPr>
                <w:rFonts w:ascii="Calibri" w:hAnsi="Calibri"/>
                <w:b/>
                <w:color w:val="30A46C"/>
                <w:sz w:val="22"/>
              </w:rPr>
              <w:t>+0.5%</w:t>
            </w:r>
          </w:p>
        </w:tc>
        <w:tc>
          <w:tcPr>
            <w:tcW w:type="dxa" w:w="1234"/>
          </w:tcPr>
          <w:p>
            <w:r>
              <w:rPr>
                <w:rFonts w:ascii="Calibri" w:hAnsi="Calibri"/>
                <w:sz w:val="22"/>
              </w:rPr>
              <w:t>$1.88</w:t>
            </w:r>
          </w:p>
        </w:tc>
        <w:tc>
          <w:tcPr>
            <w:tcW w:type="dxa" w:w="1234"/>
          </w:tcPr>
          <w:p>
            <w:r>
              <w:rPr>
                <w:rFonts w:ascii="Calibri" w:hAnsi="Calibri"/>
                <w:sz w:val="22"/>
              </w:rPr>
              <w:t>$1.83</w:t>
            </w:r>
          </w:p>
        </w:tc>
        <w:tc>
          <w:tcPr>
            <w:tcW w:type="dxa" w:w="1234"/>
          </w:tcPr>
          <w:p>
            <w:r>
              <w:rPr>
                <w:rFonts w:ascii="Calibri" w:hAnsi="Calibri"/>
                <w:b/>
                <w:color w:val="30A46C"/>
                <w:sz w:val="22"/>
              </w:rPr>
              <w:t>+2.7%</w:t>
            </w:r>
          </w:p>
        </w:tc>
      </w:tr>
      <w:tr>
        <w:tc>
          <w:tcPr>
            <w:tcW w:type="dxa" w:w="1234"/>
          </w:tcPr>
          <w:p>
            <w:r>
              <w:rPr>
                <w:rFonts w:ascii="Calibri" w:hAnsi="Calibri"/>
                <w:sz w:val="22"/>
              </w:rPr>
              <w:t>Q3 2024</w:t>
            </w:r>
          </w:p>
        </w:tc>
        <w:tc>
          <w:tcPr>
            <w:tcW w:type="dxa" w:w="1234"/>
          </w:tcPr>
          <w:p>
            <w:r>
              <w:rPr>
                <w:rFonts w:ascii="Calibri" w:hAnsi="Calibri"/>
                <w:sz w:val="22"/>
              </w:rPr>
              <w:t>$1,215.5</w:t>
            </w:r>
          </w:p>
        </w:tc>
        <w:tc>
          <w:tcPr>
            <w:tcW w:type="dxa" w:w="1234"/>
          </w:tcPr>
          <w:p>
            <w:r>
              <w:rPr>
                <w:rFonts w:ascii="Calibri" w:hAnsi="Calibri"/>
                <w:sz w:val="22"/>
              </w:rPr>
              <w:t>$1,186.1</w:t>
            </w:r>
          </w:p>
        </w:tc>
        <w:tc>
          <w:tcPr>
            <w:tcW w:type="dxa" w:w="1234"/>
          </w:tcPr>
          <w:p>
            <w:r>
              <w:rPr>
                <w:rFonts w:ascii="Calibri" w:hAnsi="Calibri"/>
                <w:b/>
                <w:color w:val="30A46C"/>
                <w:sz w:val="22"/>
              </w:rPr>
              <w:t>+2.5%</w:t>
            </w:r>
          </w:p>
        </w:tc>
        <w:tc>
          <w:tcPr>
            <w:tcW w:type="dxa" w:w="1234"/>
          </w:tcPr>
          <w:p>
            <w:r>
              <w:rPr>
                <w:rFonts w:ascii="Calibri" w:hAnsi="Calibri"/>
                <w:sz w:val="22"/>
              </w:rPr>
              <w:t>$1.64</w:t>
            </w:r>
          </w:p>
        </w:tc>
        <w:tc>
          <w:tcPr>
            <w:tcW w:type="dxa" w:w="1234"/>
          </w:tcPr>
          <w:p>
            <w:r>
              <w:rPr>
                <w:rFonts w:ascii="Calibri" w:hAnsi="Calibri"/>
                <w:sz w:val="22"/>
              </w:rPr>
              <w:t>$1.46</w:t>
            </w:r>
          </w:p>
        </w:tc>
        <w:tc>
          <w:tcPr>
            <w:tcW w:type="dxa" w:w="1234"/>
          </w:tcPr>
          <w:p>
            <w:r>
              <w:rPr>
                <w:rFonts w:ascii="Calibri" w:hAnsi="Calibri"/>
                <w:b/>
                <w:color w:val="30A46C"/>
                <w:sz w:val="22"/>
              </w:rPr>
              <w:t>+12.3%</w:t>
            </w:r>
          </w:p>
        </w:tc>
      </w:tr>
      <w:tr>
        <w:tc>
          <w:tcPr>
            <w:tcW w:type="dxa" w:w="1234"/>
          </w:tcPr>
          <w:p>
            <w:r>
              <w:rPr>
                <w:rFonts w:ascii="Calibri" w:hAnsi="Calibri"/>
                <w:sz w:val="22"/>
              </w:rPr>
              <w:t>Q2 2024</w:t>
            </w:r>
          </w:p>
        </w:tc>
        <w:tc>
          <w:tcPr>
            <w:tcW w:type="dxa" w:w="1234"/>
          </w:tcPr>
          <w:p>
            <w:r>
              <w:rPr>
                <w:rFonts w:ascii="Calibri" w:hAnsi="Calibri"/>
                <w:sz w:val="22"/>
              </w:rPr>
              <w:t>$1,060.0</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Pattern: CDNS has beaten revenue consensus in every reported quarter shown, with EPS beats ranging from +2% to +12%. The consistency of beats — never a miss in 7 consecutive quarters — reflects management's conservative guidance philosophy and strong backlog visibility.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April 27 Q1 earnings call — no post-earnings revisions or pre-announcements. </w:t>
      </w:r>
      <w:r>
        <w:rPr>
          <w:rFonts w:ascii="Calibri" w:hAnsi="Calibri"/>
          <w:b/>
          <w:color w:val="525866"/>
          <w:sz w:val="22"/>
        </w:rPr>
        <w:t>Management tone has, if anything, grown more constructive</w:t>
      </w:r>
      <w:r>
        <w:rPr>
          <w:rFonts w:ascii="Calibri" w:hAnsi="Calibri"/>
          <w:color w:val="525866"/>
          <w:sz w:val="22"/>
        </w:rPr>
        <w:t xml:space="preserve"> at conferences, with the CEO describing the environment as "the best it has been" and VP of IR citing the company as "the strongest ever in company history" competitively.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$1.555B – $1.595B</w:t>
            </w:r>
          </w:p>
        </w:tc>
        <w:tc>
          <w:tcPr>
            <w:tcW w:type="dxa" w:w="1728"/>
          </w:tcPr>
          <w:p>
            <w:r>
              <w:rPr>
                <w:rFonts w:ascii="Calibri" w:hAnsi="Calibri"/>
                <w:sz w:val="22"/>
              </w:rPr>
              <w:t>—</w:t>
            </w:r>
          </w:p>
        </w:tc>
        <w:tc>
          <w:tcPr>
            <w:tcW w:type="dxa" w:w="1728"/>
          </w:tcPr>
          <w:p>
            <w:r>
              <w:rPr>
                <w:rFonts w:ascii="Calibri" w:hAnsi="Calibri"/>
                <w:sz w:val="22"/>
              </w:rPr>
              <w:t>$1.577B</w:t>
            </w:r>
          </w:p>
        </w:tc>
        <w:tc>
          <w:tcPr>
            <w:tcW w:type="dxa" w:w="1728"/>
          </w:tcPr>
          <w:p>
            <w:r>
              <w:rPr>
                <w:rFonts w:ascii="Calibri" w:hAnsi="Calibri"/>
                <w:sz w:val="22"/>
              </w:rPr>
              <w:t>No change; consensus at midpoint</w:t>
            </w:r>
          </w:p>
        </w:tc>
      </w:tr>
      <w:tr>
        <w:tc>
          <w:tcPr>
            <w:tcW w:type="dxa" w:w="1728"/>
          </w:tcPr>
          <w:p>
            <w:r>
              <w:rPr>
                <w:rFonts w:ascii="Calibri" w:hAnsi="Calibri"/>
                <w:sz w:val="22"/>
              </w:rPr>
              <w:t>Q2 2026 Non-GAAP EPS</w:t>
            </w:r>
          </w:p>
        </w:tc>
        <w:tc>
          <w:tcPr>
            <w:tcW w:type="dxa" w:w="1728"/>
          </w:tcPr>
          <w:p>
            <w:r>
              <w:rPr>
                <w:rFonts w:ascii="Calibri" w:hAnsi="Calibri"/>
                <w:sz w:val="22"/>
              </w:rPr>
              <w:t>$2.02 – $2.08</w:t>
            </w:r>
          </w:p>
        </w:tc>
        <w:tc>
          <w:tcPr>
            <w:tcW w:type="dxa" w:w="1728"/>
          </w:tcPr>
          <w:p>
            <w:r>
              <w:rPr>
                <w:rFonts w:ascii="Calibri" w:hAnsi="Calibri"/>
                <w:sz w:val="22"/>
              </w:rPr>
              <w:t>—</w:t>
            </w:r>
          </w:p>
        </w:tc>
        <w:tc>
          <w:tcPr>
            <w:tcW w:type="dxa" w:w="1728"/>
          </w:tcPr>
          <w:p>
            <w:r>
              <w:rPr>
                <w:rFonts w:ascii="Calibri" w:hAnsi="Calibri"/>
                <w:sz w:val="22"/>
              </w:rPr>
              <w:t>$2.05</w:t>
            </w:r>
          </w:p>
        </w:tc>
        <w:tc>
          <w:tcPr>
            <w:tcW w:type="dxa" w:w="1728"/>
          </w:tcPr>
          <w:p>
            <w:r>
              <w:rPr>
                <w:rFonts w:ascii="Calibri" w:hAnsi="Calibri"/>
                <w:sz w:val="22"/>
              </w:rPr>
              <w:t>No change; consensus at midpoint</w:t>
            </w:r>
          </w:p>
        </w:tc>
      </w:tr>
      <w:tr>
        <w:tc>
          <w:tcPr>
            <w:tcW w:type="dxa" w:w="1728"/>
          </w:tcPr>
          <w:p>
            <w:r>
              <w:rPr>
                <w:rFonts w:ascii="Calibri" w:hAnsi="Calibri"/>
                <w:sz w:val="22"/>
              </w:rPr>
              <w:t>Q2 2026 Non-GAAP Op. Margin</w:t>
            </w:r>
          </w:p>
        </w:tc>
        <w:tc>
          <w:tcPr>
            <w:tcW w:type="dxa" w:w="1728"/>
          </w:tcPr>
          <w:p>
            <w:r>
              <w:rPr>
                <w:rFonts w:ascii="Calibri" w:hAnsi="Calibri"/>
                <w:sz w:val="22"/>
              </w:rPr>
              <w:t>44.5% – 45.5%</w:t>
            </w:r>
          </w:p>
        </w:tc>
        <w:tc>
          <w:tcPr>
            <w:tcW w:type="dxa" w:w="1728"/>
          </w:tcPr>
          <w:p>
            <w:r>
              <w:rPr>
                <w:rFonts w:ascii="Calibri" w:hAnsi="Calibri"/>
                <w:sz w:val="22"/>
              </w:rPr>
              <w:t>—</w:t>
            </w:r>
          </w:p>
        </w:tc>
        <w:tc>
          <w:tcPr>
            <w:tcW w:type="dxa" w:w="1728"/>
          </w:tcPr>
          <w:p>
            <w:r>
              <w:rPr>
                <w:rFonts w:ascii="Calibri" w:hAnsi="Calibri"/>
                <w:sz w:val="22"/>
              </w:rPr>
              <w:t>~45.0% (implied)</w:t>
            </w:r>
          </w:p>
        </w:tc>
        <w:tc>
          <w:tcPr>
            <w:tcW w:type="dxa" w:w="1728"/>
          </w:tcPr>
          <w:p>
            <w:r>
              <w:rPr>
                <w:rFonts w:ascii="Calibri" w:hAnsi="Calibri"/>
                <w:sz w:val="22"/>
              </w:rPr>
              <w:t>No change</w:t>
            </w:r>
          </w:p>
        </w:tc>
      </w:tr>
      <w:tr>
        <w:tc>
          <w:tcPr>
            <w:tcW w:type="dxa" w:w="1728"/>
          </w:tcPr>
          <w:p>
            <w:r>
              <w:rPr>
                <w:rFonts w:ascii="Calibri" w:hAnsi="Calibri"/>
                <w:sz w:val="22"/>
              </w:rPr>
              <w:t>FY 2026 Revenue</w:t>
            </w:r>
          </w:p>
        </w:tc>
        <w:tc>
          <w:tcPr>
            <w:tcW w:type="dxa" w:w="1728"/>
          </w:tcPr>
          <w:p>
            <w:r>
              <w:rPr>
                <w:rFonts w:ascii="Calibri" w:hAnsi="Calibri"/>
                <w:sz w:val="22"/>
              </w:rPr>
              <w:t>$6.125B – $6.225B (~17% YoY)</w:t>
            </w:r>
          </w:p>
        </w:tc>
        <w:tc>
          <w:tcPr>
            <w:tcW w:type="dxa" w:w="1728"/>
          </w:tcPr>
          <w:p>
            <w:r>
              <w:rPr>
                <w:rFonts w:ascii="Calibri" w:hAnsi="Calibri"/>
                <w:sz w:val="22"/>
              </w:rPr>
              <w:t>—</w:t>
            </w:r>
          </w:p>
        </w:tc>
        <w:tc>
          <w:tcPr>
            <w:tcW w:type="dxa" w:w="1728"/>
          </w:tcPr>
          <w:p>
            <w:r>
              <w:rPr>
                <w:rFonts w:ascii="Calibri" w:hAnsi="Calibri"/>
                <w:sz w:val="22"/>
              </w:rPr>
              <w:t>$6.205B</w:t>
            </w:r>
          </w:p>
        </w:tc>
        <w:tc>
          <w:tcPr>
            <w:tcW w:type="dxa" w:w="1728"/>
          </w:tcPr>
          <w:p>
            <w:r>
              <w:rPr>
                <w:rFonts w:ascii="Calibri" w:hAnsi="Calibri"/>
                <w:sz w:val="22"/>
              </w:rPr>
              <w:t>No change; raised from prior $5.9–$6.0B at Q1 print</w:t>
            </w:r>
          </w:p>
        </w:tc>
      </w:tr>
      <w:tr>
        <w:tc>
          <w:tcPr>
            <w:tcW w:type="dxa" w:w="1728"/>
          </w:tcPr>
          <w:p>
            <w:r>
              <w:rPr>
                <w:rFonts w:ascii="Calibri" w:hAnsi="Calibri"/>
                <w:sz w:val="22"/>
              </w:rPr>
              <w:t>FY 2026 Non-GAAP EPS</w:t>
            </w:r>
          </w:p>
        </w:tc>
        <w:tc>
          <w:tcPr>
            <w:tcW w:type="dxa" w:w="1728"/>
          </w:tcPr>
          <w:p>
            <w:r>
              <w:rPr>
                <w:rFonts w:ascii="Calibri" w:hAnsi="Calibri"/>
                <w:sz w:val="22"/>
              </w:rPr>
              <w:t>$7.85 – $7.95</w:t>
            </w:r>
          </w:p>
        </w:tc>
        <w:tc>
          <w:tcPr>
            <w:tcW w:type="dxa" w:w="1728"/>
          </w:tcPr>
          <w:p>
            <w:r>
              <w:rPr>
                <w:rFonts w:ascii="Calibri" w:hAnsi="Calibri"/>
                <w:sz w:val="22"/>
              </w:rPr>
              <w:t>—</w:t>
            </w:r>
          </w:p>
        </w:tc>
        <w:tc>
          <w:tcPr>
            <w:tcW w:type="dxa" w:w="1728"/>
          </w:tcPr>
          <w:p>
            <w:r>
              <w:rPr>
                <w:rFonts w:ascii="Calibri" w:hAnsi="Calibri"/>
                <w:sz w:val="22"/>
              </w:rPr>
              <w:t>$7.95</w:t>
            </w:r>
          </w:p>
        </w:tc>
        <w:tc>
          <w:tcPr>
            <w:tcW w:type="dxa" w:w="1728"/>
          </w:tcPr>
          <w:p>
            <w:r>
              <w:rPr>
                <w:rFonts w:ascii="Calibri" w:hAnsi="Calibri"/>
                <w:sz w:val="22"/>
              </w:rPr>
              <w:t>No change; lowered from prior $8.05–$8.15 due to Hexagon dilution (~$0.28)</w:t>
            </w:r>
          </w:p>
        </w:tc>
      </w:tr>
      <w:tr>
        <w:tc>
          <w:tcPr>
            <w:tcW w:type="dxa" w:w="1728"/>
          </w:tcPr>
          <w:p>
            <w:r>
              <w:rPr>
                <w:rFonts w:ascii="Calibri" w:hAnsi="Calibri"/>
                <w:sz w:val="22"/>
              </w:rPr>
              <w:t>FY 2026 Non-GAAP Op. Margin</w:t>
            </w:r>
          </w:p>
        </w:tc>
        <w:tc>
          <w:tcPr>
            <w:tcW w:type="dxa" w:w="1728"/>
          </w:tcPr>
          <w:p>
            <w:r>
              <w:rPr>
                <w:rFonts w:ascii="Calibri" w:hAnsi="Calibri"/>
                <w:sz w:val="22"/>
              </w:rPr>
              <w:t>43.5% – 44.5%</w:t>
            </w:r>
          </w:p>
        </w:tc>
        <w:tc>
          <w:tcPr>
            <w:tcW w:type="dxa" w:w="1728"/>
          </w:tcPr>
          <w:p>
            <w:r>
              <w:rPr>
                <w:rFonts w:ascii="Calibri" w:hAnsi="Calibri"/>
                <w:sz w:val="22"/>
              </w:rPr>
              <w:t>—</w:t>
            </w:r>
          </w:p>
        </w:tc>
        <w:tc>
          <w:tcPr>
            <w:tcW w:type="dxa" w:w="1728"/>
          </w:tcPr>
          <w:p>
            <w:r>
              <w:rPr>
                <w:rFonts w:ascii="Calibri" w:hAnsi="Calibri"/>
                <w:sz w:val="22"/>
              </w:rPr>
              <w:t>~44.1% (implied)</w:t>
            </w:r>
          </w:p>
        </w:tc>
        <w:tc>
          <w:tcPr>
            <w:tcW w:type="dxa" w:w="1728"/>
          </w:tcPr>
          <w:p>
            <w:r>
              <w:rPr>
                <w:rFonts w:ascii="Calibri" w:hAnsi="Calibri"/>
                <w:sz w:val="22"/>
              </w:rPr>
              <w:t>Lowered from prior 44.75–45.75% due to Hexagon; first year crossing Rule of 60 on organic basis</w:t>
            </w:r>
          </w:p>
        </w:tc>
      </w:tr>
      <w:tr>
        <w:tc>
          <w:tcPr>
            <w:tcW w:type="dxa" w:w="1728"/>
          </w:tcPr>
          <w:p>
            <w:r>
              <w:rPr>
                <w:rFonts w:ascii="Calibri" w:hAnsi="Calibri"/>
                <w:sz w:val="22"/>
              </w:rPr>
              <w:t>FY 2026 Operating Cash Flow</w:t>
            </w:r>
          </w:p>
        </w:tc>
        <w:tc>
          <w:tcPr>
            <w:tcW w:type="dxa" w:w="1728"/>
          </w:tcPr>
          <w:p>
            <w:r>
              <w:rPr>
                <w:rFonts w:ascii="Calibri" w:hAnsi="Calibri"/>
                <w:sz w:val="22"/>
              </w:rPr>
              <w:t>$1.875B – $1.975B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Underlying OCF ~$2.1B ex-Hexagon pre-close tax liabilities</w:t>
            </w:r>
          </w:p>
        </w:tc>
      </w:tr>
    </w:tbl>
    <w:p>
      <w:r>
        <w:rPr>
          <w:rFonts w:ascii="Calibri" w:hAnsi="Calibri"/>
          <w:i/>
          <w:color w:val="525866"/>
          <w:sz w:val="22"/>
        </w:rPr>
        <w:t>Source: Cadence Q1 2026 CFO Commentary (8-K EX-99.02) and Q1 2026 Earnings Call Transcript, April 27,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revenue consensus moved only +$0.1M and EPS was flat, while full-year estimates edged up modestly. </w:t>
      </w:r>
      <w:r>
        <w:rPr>
          <w:rFonts w:ascii="Calibri" w:hAnsi="Calibri"/>
          <w:b/>
          <w:color w:val="525866"/>
          <w:sz w:val="22"/>
        </w:rPr>
        <w:t>The Street is tracking guidance almost exactly</w:t>
      </w:r>
      <w:r>
        <w:rPr>
          <w:rFonts w:ascii="Calibri" w:hAnsi="Calibri"/>
          <w:color w:val="525866"/>
          <w:sz w:val="22"/>
        </w:rPr>
        <w:t>, with no divergence risk or cushion to speak of; execution against the guided range is the entire story.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$1,576.4M</w:t>
            </w:r>
          </w:p>
        </w:tc>
        <w:tc>
          <w:tcPr>
            <w:tcW w:type="dxa" w:w="1080"/>
          </w:tcPr>
          <w:p>
            <w:r>
              <w:rPr>
                <w:rFonts w:ascii="Calibri" w:hAnsi="Calibri"/>
                <w:sz w:val="22"/>
              </w:rPr>
              <w:t>$1,576.5M</w:t>
            </w:r>
          </w:p>
        </w:tc>
        <w:tc>
          <w:tcPr>
            <w:tcW w:type="dxa" w:w="1080"/>
          </w:tcPr>
          <w:p>
            <w:r>
              <w:rPr>
                <w:rFonts w:ascii="Calibri" w:hAnsi="Calibri"/>
                <w:sz w:val="22"/>
              </w:rPr>
              <w:t>+0.0%</w:t>
            </w:r>
          </w:p>
        </w:tc>
        <w:tc>
          <w:tcPr>
            <w:tcW w:type="dxa" w:w="1080"/>
          </w:tcPr>
          <w:p>
            <w:r>
              <w:rPr>
                <w:rFonts w:ascii="Calibri" w:hAnsi="Calibri"/>
                <w:sz w:val="22"/>
              </w:rPr>
              <w:t>$1,555–$1,595M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Non-GAAP EPS — Q2 2026</w:t>
            </w:r>
          </w:p>
        </w:tc>
        <w:tc>
          <w:tcPr>
            <w:tcW w:type="dxa" w:w="1080"/>
          </w:tcPr>
          <w:p>
            <w:r>
              <w:rPr>
                <w:rFonts w:ascii="Calibri" w:hAnsi="Calibri"/>
                <w:sz w:val="22"/>
              </w:rPr>
              <w:t>$2.049</w:t>
            </w:r>
          </w:p>
        </w:tc>
        <w:tc>
          <w:tcPr>
            <w:tcW w:type="dxa" w:w="1080"/>
          </w:tcPr>
          <w:p>
            <w:r>
              <w:rPr>
                <w:rFonts w:ascii="Calibri" w:hAnsi="Calibri"/>
                <w:sz w:val="22"/>
              </w:rPr>
              <w:t>$2.049</w:t>
            </w:r>
          </w:p>
        </w:tc>
        <w:tc>
          <w:tcPr>
            <w:tcW w:type="dxa" w:w="1080"/>
          </w:tcPr>
          <w:p>
            <w:r>
              <w:rPr>
                <w:rFonts w:ascii="Calibri" w:hAnsi="Calibri"/>
                <w:sz w:val="22"/>
              </w:rPr>
              <w:t>0.0%</w:t>
            </w:r>
          </w:p>
        </w:tc>
        <w:tc>
          <w:tcPr>
            <w:tcW w:type="dxa" w:w="1080"/>
          </w:tcPr>
          <w:p>
            <w:r>
              <w:rPr>
                <w:rFonts w:ascii="Calibri" w:hAnsi="Calibri"/>
                <w:sz w:val="22"/>
              </w:rPr>
              <w:t>$2.02–$2.08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midpoint</w:t>
            </w:r>
          </w:p>
        </w:tc>
      </w:tr>
      <w:tr>
        <w:tc>
          <w:tcPr>
            <w:tcW w:type="dxa" w:w="1080"/>
          </w:tcPr>
          <w:p>
            <w:r>
              <w:rPr>
                <w:rFonts w:ascii="Calibri" w:hAnsi="Calibri"/>
                <w:sz w:val="22"/>
              </w:rPr>
              <w:t>Revenue — FY 2026</w:t>
            </w:r>
          </w:p>
        </w:tc>
        <w:tc>
          <w:tcPr>
            <w:tcW w:type="dxa" w:w="1080"/>
          </w:tcPr>
          <w:p>
            <w:r>
              <w:rPr>
                <w:rFonts w:ascii="Calibri" w:hAnsi="Calibri"/>
                <w:sz w:val="22"/>
              </w:rPr>
              <w:t>$6,203.2M</w:t>
            </w:r>
          </w:p>
        </w:tc>
        <w:tc>
          <w:tcPr>
            <w:tcW w:type="dxa" w:w="1080"/>
          </w:tcPr>
          <w:p>
            <w:r>
              <w:rPr>
                <w:rFonts w:ascii="Calibri" w:hAnsi="Calibri"/>
                <w:sz w:val="22"/>
              </w:rPr>
              <w:t>$6,204.9M</w:t>
            </w:r>
          </w:p>
        </w:tc>
        <w:tc>
          <w:tcPr>
            <w:tcW w:type="dxa" w:w="1080"/>
          </w:tcPr>
          <w:p>
            <w:r>
              <w:rPr>
                <w:rFonts w:ascii="Calibri" w:hAnsi="Calibri"/>
                <w:sz w:val="22"/>
              </w:rPr>
              <w:t>+0.0%</w:t>
            </w:r>
          </w:p>
        </w:tc>
        <w:tc>
          <w:tcPr>
            <w:tcW w:type="dxa" w:w="1080"/>
          </w:tcPr>
          <w:p>
            <w:r>
              <w:rPr>
                <w:rFonts w:ascii="Calibri" w:hAnsi="Calibri"/>
                <w:sz w:val="22"/>
              </w:rPr>
              <w:t>$6,125–$6,225M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Non-GAAP EPS — FY 2026</w:t>
            </w:r>
          </w:p>
        </w:tc>
        <w:tc>
          <w:tcPr>
            <w:tcW w:type="dxa" w:w="1080"/>
          </w:tcPr>
          <w:p>
            <w:r>
              <w:rPr>
                <w:rFonts w:ascii="Calibri" w:hAnsi="Calibri"/>
                <w:sz w:val="22"/>
              </w:rPr>
              <w:t>$7.950</w:t>
            </w:r>
          </w:p>
        </w:tc>
        <w:tc>
          <w:tcPr>
            <w:tcW w:type="dxa" w:w="1080"/>
          </w:tcPr>
          <w:p>
            <w:r>
              <w:rPr>
                <w:rFonts w:ascii="Calibri" w:hAnsi="Calibri"/>
                <w:sz w:val="22"/>
              </w:rPr>
              <w:t>$7.952</w:t>
            </w:r>
          </w:p>
        </w:tc>
        <w:tc>
          <w:tcPr>
            <w:tcW w:type="dxa" w:w="1080"/>
          </w:tcPr>
          <w:p>
            <w:r>
              <w:rPr>
                <w:rFonts w:ascii="Calibri" w:hAnsi="Calibri"/>
                <w:sz w:val="22"/>
              </w:rPr>
              <w:t>+0.0%</w:t>
            </w:r>
          </w:p>
        </w:tc>
        <w:tc>
          <w:tcPr>
            <w:tcW w:type="dxa" w:w="1080"/>
          </w:tcPr>
          <w:p>
            <w:r>
              <w:rPr>
                <w:rFonts w:ascii="Calibri" w:hAnsi="Calibri"/>
                <w:sz w:val="22"/>
              </w:rPr>
              <w:t>$7.85–$7.95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bl>
    <w:p>
      <w:r>
        <w:rPr>
          <w:rFonts w:ascii="Calibri" w:hAnsi="Calibri"/>
          <w:i/>
          <w:color w:val="525866"/>
          <w:sz w:val="22"/>
        </w:rPr>
        <w:t>Source: Visible Alpha Consensus and Actuals Data (revision history, weekly frequency, May 8 – July 26, 2026). Guidance from Cadence Q1 2026 CFO Commentary (8-K EX-99.02, April 27, 2026).</w:t>
      </w:r>
    </w:p>
    <w:p>
      <w:r>
        <w:rPr>
          <w:rFonts w:ascii="Calibri" w:hAnsi="Calibri"/>
          <w:color w:val="525866"/>
          <w:sz w:val="22"/>
        </w:rPr>
        <w:t>The near-zero estimate drift since the Q1 print is notable: in a quarter where management described the environment as "the best it has been," the Street has not chased upside. This creates an asymmetric setup — a beat is likely but already partially expected, while a miss would be a genuine negative surprise given the backlog visibility.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CDNS has underperformed both SOXX and SPY since the Q1 print, with the recent sharp pullback driven entirely by </w:t>
      </w:r>
      <w:r>
        <w:rPr>
          <w:rFonts w:ascii="Calibri" w:hAnsi="Calibri"/>
          <w:b/>
          <w:color w:val="525866"/>
          <w:sz w:val="22"/>
        </w:rPr>
        <w:t>multiple compression</w:t>
      </w:r>
      <w:r>
        <w:rPr>
          <w:rFonts w:ascii="Calibri" w:hAnsi="Calibri"/>
          <w:color w:val="525866"/>
          <w:sz w:val="22"/>
        </w:rPr>
        <w:t xml:space="preserve"> (NTM EV/EBITDA down ~14% over one month) rather than estimate cuts — suggesting the stock has de-rated ahead of earnings and the bar for a positive reaction is lower than it was at the June peak.</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CDNS vs. SOXX (Semiconductor ETF) vs. SPY (S&amp;P 500) — Indexed to 100 at Q1 2026 Earnings (April 27, 2026). Source: Yahoo Finance / Stock Price Data.</w:t>
      </w:r>
    </w:p>
    <w:p>
      <w:r>
        <w:rPr>
          <w:rFonts w:ascii="Calibri" w:hAnsi="Calibri"/>
          <w:color w:val="525866"/>
          <w:sz w:val="22"/>
        </w:rPr>
        <w:t>Key events since Q1 earnings (April 27, 2026):</w:t>
      </w:r>
    </w:p>
    <w:p>
      <w:pPr>
        <w:pStyle w:val="ListBullet"/>
        <w:ind w:left="360" w:hanging="360"/>
      </w:pPr>
      <w:r>
        <w:rPr>
          <w:rFonts w:ascii="Calibri" w:hAnsi="Calibri"/>
          <w:b/>
          <w:color w:val="525866"/>
          <w:sz w:val="22"/>
        </w:rPr>
        <w:t>April 27:</w:t>
      </w:r>
      <w:r>
        <w:rPr>
          <w:rFonts w:ascii="Calibri" w:hAnsi="Calibri"/>
          <w:color w:val="525866"/>
          <w:sz w:val="22"/>
        </w:rPr>
        <w:t xml:space="preserve"> Q1 2026 earnings beat; stock opened ~flat as Hexagon EPS dilution and H2 conservatism tempered enthusiasm. CDNS indexed at 100.</w:t>
      </w:r>
    </w:p>
    <w:p>
      <w:pPr>
        <w:pStyle w:val="ListBullet"/>
        <w:ind w:left="360" w:hanging="360"/>
      </w:pPr>
      <w:r>
        <w:rPr>
          <w:rFonts w:ascii="Calibri" w:hAnsi="Calibri"/>
          <w:b/>
          <w:color w:val="525866"/>
          <w:sz w:val="22"/>
        </w:rPr>
        <w:t>May 26–June 4:</w:t>
      </w:r>
      <w:r>
        <w:rPr>
          <w:rFonts w:ascii="Calibri" w:hAnsi="Calibri"/>
          <w:color w:val="525866"/>
          <w:sz w:val="22"/>
        </w:rPr>
        <w:t xml:space="preserve"> CDNS rallied sharply to ~$416 (+23% from earnings), driven by BofA conference bullish commentary (June 3) and the ChipStack Level-5 autonomy announcement at Computex (June 1). SOXX also rallied strongly on broad AI semiconductor enthusiasm.</w:t>
      </w:r>
    </w:p>
    <w:p>
      <w:pPr>
        <w:pStyle w:val="ListBullet"/>
        <w:ind w:left="360" w:hanging="360"/>
      </w:pPr>
      <w:r>
        <w:rPr>
          <w:rFonts w:ascii="Calibri" w:hAnsi="Calibri"/>
          <w:b/>
          <w:color w:val="525866"/>
          <w:sz w:val="22"/>
        </w:rPr>
        <w:t>June 5–July 16:</w:t>
      </w:r>
      <w:r>
        <w:rPr>
          <w:rFonts w:ascii="Calibri" w:hAnsi="Calibri"/>
          <w:color w:val="525866"/>
          <w:sz w:val="22"/>
        </w:rPr>
        <w:t xml:space="preserve"> CDNS gave back most of the rally, declining from ~$416 to ~$365, underperforming SOXX which held gains. Multiple compression was the primary driver — NTM EV/EBITDA contracted from ~32x to ~28x with no estimate cuts.</w:t>
      </w:r>
    </w:p>
    <w:p>
      <w:pPr>
        <w:pStyle w:val="ListBullet"/>
        <w:ind w:left="360" w:hanging="360"/>
      </w:pPr>
      <w:r>
        <w:rPr>
          <w:rFonts w:ascii="Calibri" w:hAnsi="Calibri"/>
          <w:b/>
          <w:color w:val="525866"/>
          <w:sz w:val="22"/>
        </w:rPr>
        <w:t>July 17:</w:t>
      </w:r>
      <w:r>
        <w:rPr>
          <w:rFonts w:ascii="Calibri" w:hAnsi="Calibri"/>
          <w:color w:val="525866"/>
          <w:sz w:val="22"/>
        </w:rPr>
        <w:t xml:space="preserve"> Sharp single-day decline to ~$330 (approximately -10%), likely reflecting broader tech/semiconductor rotation and pre-earnings de-risking. SOXX also declined but less severely.</w:t>
      </w:r>
    </w:p>
    <w:p>
      <w:pPr>
        <w:pStyle w:val="ListBullet"/>
        <w:ind w:left="360" w:hanging="360"/>
      </w:pPr>
      <w:r>
        <w:rPr>
          <w:rFonts w:ascii="Calibri" w:hAnsi="Calibri"/>
          <w:b/>
          <w:color w:val="525866"/>
          <w:sz w:val="22"/>
        </w:rPr>
        <w:t>July 24 (latest):</w:t>
      </w:r>
      <w:r>
        <w:rPr>
          <w:rFonts w:ascii="Calibri" w:hAnsi="Calibri"/>
          <w:color w:val="525866"/>
          <w:sz w:val="22"/>
        </w:rPr>
        <w:t xml:space="preserve"> CDNS at $326.28, down ~3.1% from Q1 earnings date close of $336.54. SOXX +15.7%, SPY +3.3% over same period. CDNS is the clear underperformer.</w:t>
      </w:r>
    </w:p>
    <w:p>
      <w:r>
        <w:rPr>
          <w:rFonts w:ascii="Calibri" w:hAnsi="Calibri"/>
          <w:b/>
          <w:color w:val="525866"/>
          <w:sz w:val="22"/>
        </w:rPr>
        <w:t>Stock Performance Decomposition (NTM EV/EBITDA basis, Source: Implied Platform):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Horizon</w:t>
            </w:r>
          </w:p>
        </w:tc>
        <w:tc>
          <w:tcPr>
            <w:tcW w:type="dxa" w:w="2160"/>
            <w:shd w:val="clear" w:color="auto" w:fill="3B4259"/>
          </w:tcPr>
          <w:p>
            <w:r>
              <w:rPr>
                <w:rFonts w:ascii="Calibri" w:hAnsi="Calibri"/>
                <w:b/>
                <w:color w:val="FFFFFF"/>
                <w:sz w:val="22"/>
              </w:rPr>
              <w:t>Price Change</w:t>
            </w:r>
          </w:p>
        </w:tc>
        <w:tc>
          <w:tcPr>
            <w:tcW w:type="dxa" w:w="2160"/>
            <w:shd w:val="clear" w:color="auto" w:fill="3B4259"/>
          </w:tcPr>
          <w:p>
            <w:r>
              <w:rPr>
                <w:rFonts w:ascii="Calibri" w:hAnsi="Calibri"/>
                <w:b/>
                <w:color w:val="FFFFFF"/>
                <w:sz w:val="22"/>
              </w:rPr>
              <w:t>NTM EV/EBITDA Change</w:t>
            </w:r>
          </w:p>
        </w:tc>
        <w:tc>
          <w:tcPr>
            <w:tcW w:type="dxa" w:w="2160"/>
            <w:shd w:val="clear" w:color="auto" w:fill="3B4259"/>
          </w:tcPr>
          <w:p>
            <w:r>
              <w:rPr>
                <w:rFonts w:ascii="Calibri" w:hAnsi="Calibri"/>
                <w:b/>
                <w:color w:val="FFFFFF"/>
                <w:sz w:val="22"/>
              </w:rPr>
              <w:t>Interpretation</w:t>
            </w:r>
          </w:p>
        </w:tc>
      </w:tr>
      <w:tr>
        <w:tc>
          <w:tcPr>
            <w:tcW w:type="dxa" w:w="2160"/>
          </w:tcPr>
          <w:p>
            <w:r>
              <w:rPr>
                <w:rFonts w:ascii="Calibri" w:hAnsi="Calibri"/>
                <w:sz w:val="22"/>
              </w:rPr>
              <w:t>1 Month</w:t>
            </w:r>
          </w:p>
        </w:tc>
        <w:tc>
          <w:tcPr>
            <w:tcW w:type="dxa" w:w="2160"/>
          </w:tcPr>
          <w:p>
            <w:r>
              <w:rPr>
                <w:rFonts w:ascii="Calibri" w:hAnsi="Calibri"/>
                <w:b/>
                <w:color w:val="E5484D"/>
                <w:sz w:val="22"/>
              </w:rPr>
              <w:t>-12.4%</w:t>
            </w:r>
          </w:p>
        </w:tc>
        <w:tc>
          <w:tcPr>
            <w:tcW w:type="dxa" w:w="2160"/>
          </w:tcPr>
          <w:p>
            <w:r>
              <w:rPr>
                <w:rFonts w:ascii="Calibri" w:hAnsi="Calibri"/>
                <w:sz w:val="22"/>
              </w:rPr>
              <w:t>-13.7%</w:t>
            </w:r>
          </w:p>
        </w:tc>
        <w:tc>
          <w:tcPr>
            <w:tcW w:type="dxa" w:w="2160"/>
          </w:tcPr>
          <w:p>
            <w:r>
              <w:rPr>
                <w:rFonts w:ascii="Calibri" w:hAnsi="Calibri"/>
                <w:sz w:val="22"/>
              </w:rPr>
              <w:t>Entirely multiple compression; estimates unchanged</w:t>
            </w:r>
          </w:p>
        </w:tc>
      </w:tr>
      <w:tr>
        <w:tc>
          <w:tcPr>
            <w:tcW w:type="dxa" w:w="2160"/>
          </w:tcPr>
          <w:p>
            <w:r>
              <w:rPr>
                <w:rFonts w:ascii="Calibri" w:hAnsi="Calibri"/>
                <w:sz w:val="22"/>
              </w:rPr>
              <w:t>3 Months</w:t>
            </w:r>
          </w:p>
        </w:tc>
        <w:tc>
          <w:tcPr>
            <w:tcW w:type="dxa" w:w="2160"/>
          </w:tcPr>
          <w:p>
            <w:r>
              <w:rPr>
                <w:rFonts w:ascii="Calibri" w:hAnsi="Calibri"/>
                <w:sz w:val="22"/>
              </w:rPr>
              <w:t>+3.8%</w:t>
            </w:r>
          </w:p>
        </w:tc>
        <w:tc>
          <w:tcPr>
            <w:tcW w:type="dxa" w:w="2160"/>
          </w:tcPr>
          <w:p>
            <w:r>
              <w:rPr>
                <w:rFonts w:ascii="Calibri" w:hAnsi="Calibri"/>
                <w:sz w:val="22"/>
              </w:rPr>
              <w:t>-6.1%</w:t>
            </w:r>
          </w:p>
        </w:tc>
        <w:tc>
          <w:tcPr>
            <w:tcW w:type="dxa" w:w="2160"/>
          </w:tcPr>
          <w:p>
            <w:r>
              <w:rPr>
                <w:rFonts w:ascii="Calibri" w:hAnsi="Calibri"/>
                <w:sz w:val="22"/>
              </w:rPr>
              <w:t>Earnings growth more than offset multiple contraction</w:t>
            </w:r>
          </w:p>
        </w:tc>
      </w:tr>
      <w:tr>
        <w:tc>
          <w:tcPr>
            <w:tcW w:type="dxa" w:w="2160"/>
          </w:tcPr>
          <w:p>
            <w:r>
              <w:rPr>
                <w:rFonts w:ascii="Calibri" w:hAnsi="Calibri"/>
                <w:sz w:val="22"/>
              </w:rPr>
              <w:t>6 Months</w:t>
            </w:r>
          </w:p>
        </w:tc>
        <w:tc>
          <w:tcPr>
            <w:tcW w:type="dxa" w:w="2160"/>
          </w:tcPr>
          <w:p>
            <w:r>
              <w:rPr>
                <w:rFonts w:ascii="Calibri" w:hAnsi="Calibri"/>
                <w:sz w:val="22"/>
              </w:rPr>
              <w:t>+2.9%</w:t>
            </w:r>
          </w:p>
        </w:tc>
        <w:tc>
          <w:tcPr>
            <w:tcW w:type="dxa" w:w="2160"/>
          </w:tcPr>
          <w:p>
            <w:r>
              <w:rPr>
                <w:rFonts w:ascii="Calibri" w:hAnsi="Calibri"/>
                <w:sz w:val="22"/>
              </w:rPr>
              <w:t>-4.0%</w:t>
            </w:r>
          </w:p>
        </w:tc>
        <w:tc>
          <w:tcPr>
            <w:tcW w:type="dxa" w:w="2160"/>
          </w:tcPr>
          <w:p>
            <w:r>
              <w:rPr>
                <w:rFonts w:ascii="Calibri" w:hAnsi="Calibri"/>
                <w:sz w:val="22"/>
              </w:rPr>
              <w:t>Modest price gain despite meaningful de-rating</w:t>
            </w:r>
          </w:p>
        </w:tc>
      </w:tr>
      <w:tr>
        <w:tc>
          <w:tcPr>
            <w:tcW w:type="dxa" w:w="2160"/>
          </w:tcPr>
          <w:p>
            <w:r>
              <w:rPr>
                <w:rFonts w:ascii="Calibri" w:hAnsi="Calibri"/>
                <w:sz w:val="22"/>
              </w:rPr>
              <w:t>12 Months</w:t>
            </w:r>
          </w:p>
        </w:tc>
        <w:tc>
          <w:tcPr>
            <w:tcW w:type="dxa" w:w="2160"/>
          </w:tcPr>
          <w:p>
            <w:r>
              <w:rPr>
                <w:rFonts w:ascii="Calibri" w:hAnsi="Calibri"/>
                <w:sz w:val="22"/>
              </w:rPr>
              <w:t>-0.1%</w:t>
            </w:r>
          </w:p>
        </w:tc>
        <w:tc>
          <w:tcPr>
            <w:tcW w:type="dxa" w:w="2160"/>
          </w:tcPr>
          <w:p>
            <w:r>
              <w:rPr>
                <w:rFonts w:ascii="Calibri" w:hAnsi="Calibri"/>
                <w:sz w:val="22"/>
              </w:rPr>
              <w:t>-14.6%</w:t>
            </w:r>
          </w:p>
        </w:tc>
        <w:tc>
          <w:tcPr>
            <w:tcW w:type="dxa" w:w="2160"/>
          </w:tcPr>
          <w:p>
            <w:r>
              <w:rPr>
                <w:rFonts w:ascii="Calibri" w:hAnsi="Calibri"/>
                <w:sz w:val="22"/>
              </w:rPr>
              <w:t>Significant de-rating; earnings growth absorbed multiple compression</w:t>
            </w:r>
          </w:p>
        </w:tc>
      </w:tr>
    </w:tbl>
    <w:p>
      <w:r>
        <w:rPr>
          <w:rFonts w:ascii="Calibri" w:hAnsi="Calibri"/>
          <w:i/>
          <w:color w:val="525866"/>
          <w:sz w:val="22"/>
        </w:rPr>
        <w:t>Current NTM EV/EBITDA: 27.6x (vs. ~32x one month ago). The de-rating has been significant and creates a more attractive entry point if Q2 results confirm the bullish demand narrative.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ChipStack Level-5 autonomous virtual engineer launch at Computex (June 1)</w:t>
      </w:r>
      <w:r>
        <w:rPr>
          <w:rFonts w:ascii="Calibri" w:hAnsi="Calibri"/>
          <w:color w:val="525866"/>
          <w:sz w:val="22"/>
        </w:rPr>
        <w:t>, which catalyzed a ~10% single-day stock rally and materially advanced the agentic AI monetization narrative — the key question for the call is whether this is showing up in contract structures.</w:t>
      </w:r>
    </w:p>
    <w:p>
      <w:pPr>
        <w:pStyle w:val="ListBullet"/>
        <w:ind w:left="360" w:hanging="360"/>
      </w:pPr>
      <w:r>
        <w:rPr>
          <w:rFonts w:ascii="Calibri" w:hAnsi="Calibri"/>
          <w:b/>
          <w:color w:val="525866"/>
          <w:sz w:val="22"/>
        </w:rPr>
        <w:t>June 1, 2026 — ChipStack Level-5 Autonomy Launch (Computex):</w:t>
      </w:r>
      <w:r>
        <w:rPr>
          <w:rFonts w:ascii="Calibri" w:hAnsi="Calibri"/>
          <w:color w:val="525866"/>
          <w:sz w:val="22"/>
        </w:rPr>
        <w:t xml:space="preserve"> Cadence announced the industry’s first fully autonomous virtual engineer by extending ChipStack to Level-5 autonomy, built with NVIDIA Nemotron models and secured by NVIDIA OpenShell runtime. Early-access availability expected H2 2026. Stock rose ~10% on the day. </w:t>
      </w:r>
      <w:r>
        <w:rPr>
          <w:rFonts w:ascii="Calibri" w:hAnsi="Calibri"/>
          <w:b/>
          <w:color w:val="525866"/>
          <w:sz w:val="22"/>
        </w:rPr>
        <w:t>Implication:</w:t>
      </w:r>
      <w:r>
        <w:rPr>
          <w:rFonts w:ascii="Calibri" w:hAnsi="Calibri"/>
          <w:color w:val="525866"/>
          <w:sz w:val="22"/>
        </w:rPr>
        <w:t xml:space="preserve"> Accelerates the agentic AI monetization timeline; management has noted this could generate revenue sooner than the typical two-contract-cycle lag.</w:t>
      </w:r>
    </w:p>
    <w:p>
      <w:pPr>
        <w:pStyle w:val="ListBullet"/>
        <w:ind w:left="360" w:hanging="360"/>
      </w:pPr>
      <w:r>
        <w:rPr>
          <w:rFonts w:ascii="Calibri" w:hAnsi="Calibri"/>
          <w:b/>
          <w:color w:val="525866"/>
          <w:sz w:val="22"/>
        </w:rPr>
        <w:t>June 3, 2026 — BofA Global Technology Conference:</w:t>
      </w:r>
      <w:r>
        <w:rPr>
          <w:rFonts w:ascii="Calibri" w:hAnsi="Calibri"/>
          <w:color w:val="525866"/>
          <w:sz w:val="22"/>
        </w:rPr>
        <w:t xml:space="preserve"> CEO Anirudh Devgan described the operating environment as "probably the best it has been," with design activity "much stronger" than a year ago. Highlighted Xiaomi (own chips, own models, own cars, now robots) and BYD/Nio/XPeng as active Cadence customers in physical AI. </w:t>
      </w:r>
      <w:r>
        <w:rPr>
          <w:rFonts w:ascii="Calibri" w:hAnsi="Calibri"/>
          <w:b/>
          <w:color w:val="525866"/>
          <w:sz w:val="22"/>
        </w:rPr>
        <w:t>Implication:</w:t>
      </w:r>
      <w:r>
        <w:rPr>
          <w:rFonts w:ascii="Calibri" w:hAnsi="Calibri"/>
          <w:color w:val="525866"/>
          <w:sz w:val="22"/>
        </w:rPr>
        <w:t xml:space="preserve"> Confirms demand environment heading into Q2 print; no guidance revision but tone was constructively bullish.</w:t>
      </w:r>
    </w:p>
    <w:p>
      <w:pPr>
        <w:pStyle w:val="ListBullet"/>
        <w:ind w:left="360" w:hanging="360"/>
      </w:pPr>
      <w:r>
        <w:rPr>
          <w:rFonts w:ascii="Calibri" w:hAnsi="Calibri"/>
          <w:b/>
          <w:color w:val="525866"/>
          <w:sz w:val="22"/>
        </w:rPr>
        <w:t>June 8, 2026 — Intel Foundry DTCO Collaboration Announcement:</w:t>
      </w:r>
      <w:r>
        <w:rPr>
          <w:rFonts w:ascii="Calibri" w:hAnsi="Calibri"/>
          <w:color w:val="525866"/>
          <w:sz w:val="22"/>
        </w:rPr>
        <w:t xml:space="preserve"> Cadence announced a formal multi-year expanded collaboration with Intel Foundry on Design Technology Co-Optimization (DTCO) beginning with Intel 14A, covering IP readiness and design enablement for HPC and mobile designs. </w:t>
      </w:r>
      <w:r>
        <w:rPr>
          <w:rFonts w:ascii="Calibri" w:hAnsi="Calibri"/>
          <w:b/>
          <w:color w:val="525866"/>
          <w:sz w:val="22"/>
        </w:rPr>
        <w:t>Implication:</w:t>
      </w:r>
      <w:r>
        <w:rPr>
          <w:rFonts w:ascii="Calibri" w:hAnsi="Calibri"/>
          <w:color w:val="525866"/>
          <w:sz w:val="22"/>
        </w:rPr>
        <w:t xml:space="preserve"> Concrete step-up in Intel foundry relationship management had been signaling; positive for IP revenue trajectory at new advanced nodes.</w:t>
      </w:r>
    </w:p>
    <w:p>
      <w:pPr>
        <w:pStyle w:val="ListBullet"/>
        <w:ind w:left="360" w:hanging="360"/>
      </w:pPr>
      <w:r>
        <w:rPr>
          <w:rFonts w:ascii="Calibri" w:hAnsi="Calibri"/>
          <w:b/>
          <w:color w:val="525866"/>
          <w:sz w:val="22"/>
        </w:rPr>
        <w:t>June 9, 2026 — Nasdaq &amp; Jefferies Investor Conference:</w:t>
      </w:r>
      <w:r>
        <w:rPr>
          <w:rFonts w:ascii="Calibri" w:hAnsi="Calibri"/>
          <w:color w:val="525866"/>
          <w:sz w:val="22"/>
        </w:rPr>
        <w:t xml:space="preserve"> VP of IR Richard Gu cited Jensen Huang’s public statement that he would be willing to spend ~50% of a human engineer’s cost on tokens, implying EDA tools could grow from ~11–12% of customer R&amp;D budgets toward ~33%. Described Cadence as "the strongest ever in company history" competitively. </w:t>
      </w:r>
      <w:r>
        <w:rPr>
          <w:rFonts w:ascii="Calibri" w:hAnsi="Calibri"/>
          <w:b/>
          <w:color w:val="525866"/>
          <w:sz w:val="22"/>
        </w:rPr>
        <w:t>Implication:</w:t>
      </w:r>
      <w:r>
        <w:rPr>
          <w:rFonts w:ascii="Calibri" w:hAnsi="Calibri"/>
          <w:color w:val="525866"/>
          <w:sz w:val="22"/>
        </w:rPr>
        <w:t xml:space="preserve"> Frames the long-term TAM expansion narrative; not in guidance but increasingly in investor conversations.</w:t>
      </w:r>
    </w:p>
    <w:p>
      <w:pPr>
        <w:pStyle w:val="ListBullet"/>
        <w:ind w:left="360" w:hanging="360"/>
      </w:pPr>
      <w:r>
        <w:rPr>
          <w:rFonts w:ascii="Calibri" w:hAnsi="Calibri"/>
          <w:b/>
          <w:color w:val="525866"/>
          <w:sz w:val="22"/>
        </w:rPr>
        <w:t>May 11, 2026 — Shareholders Approve 5M Share Increase for Equity Plan:</w:t>
      </w:r>
      <w:r>
        <w:rPr>
          <w:rFonts w:ascii="Calibri" w:hAnsi="Calibri"/>
          <w:color w:val="525866"/>
          <w:sz w:val="22"/>
        </w:rPr>
        <w:t xml:space="preserve"> Routine approval at annual meeting. </w:t>
      </w:r>
      <w:r>
        <w:rPr>
          <w:rFonts w:ascii="Calibri" w:hAnsi="Calibri"/>
          <w:b/>
          <w:color w:val="525866"/>
          <w:sz w:val="22"/>
        </w:rPr>
        <w:t>Implication:</w:t>
      </w:r>
      <w:r>
        <w:rPr>
          <w:rFonts w:ascii="Calibri" w:hAnsi="Calibri"/>
          <w:color w:val="525866"/>
          <w:sz w:val="22"/>
        </w:rPr>
        <w:t xml:space="preserve"> Modest dilution signal; consistent with ongoing SBC-heavy compensation structure.</w:t>
      </w:r>
    </w:p>
    <w:p>
      <w:pPr>
        <w:pStyle w:val="ListBullet"/>
        <w:ind w:left="360" w:hanging="360"/>
      </w:pPr>
      <w:r>
        <w:rPr>
          <w:rFonts w:ascii="Calibri" w:hAnsi="Calibri"/>
          <w:b/>
          <w:color w:val="525866"/>
          <w:sz w:val="22"/>
        </w:rPr>
        <w:t>April 27, 2026 — Q1 2026 Earnings (Baseline):</w:t>
      </w:r>
      <w:r>
        <w:rPr>
          <w:rFonts w:ascii="Calibri" w:hAnsi="Calibri"/>
          <w:color w:val="525866"/>
          <w:sz w:val="22"/>
        </w:rPr>
        <w:t xml:space="preserve"> Beat on revenue (+1.9%) and EPS (+2.6%). Record backlog of $8.0B. Raised FY2026 revenue outlook to ~17% YoY growth. Closed Hexagon D&amp;E acquisition. Launched AgentStack, ViraStack, and InnoStack super agents. Stock reaction was muted/flat despite strong results, reflecting H2 conservatism and Hexagon EPS dilution (~$0.28 for FY2026).</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 xml:space="preserve">Synopsys’s Q2 FY2026 earnings (reported May 27, 2026) are the most direct read-through — SNPS beat on all metrics and raised full-year guidance, citing "continued AI-driven demand strength" and confirming hardware-assisted verification as a key growth driver. </w:t>
      </w:r>
      <w:r>
        <w:rPr>
          <w:rFonts w:ascii="Calibri" w:hAnsi="Calibri"/>
          <w:b/>
          <w:color w:val="525866"/>
          <w:sz w:val="22"/>
        </w:rPr>
        <w:t>This is a strong positive read-through for CDNS Q2</w:t>
      </w:r>
      <w:r>
        <w:rPr>
          <w:rFonts w:ascii="Calibri" w:hAnsi="Calibri"/>
          <w:color w:val="525866"/>
          <w:sz w:val="22"/>
        </w:rPr>
        <w:t>, as both companies serve the same hyperscaler and semiconductor customer base. Note: only commentary from the last 60 days (May 27 – July 26, 2026) that directly addresses the then-current quarter or post-earnings forward outlook is included below.</w:t>
      </w:r>
    </w:p>
    <w:p>
      <w:pPr>
        <w:pStyle w:val="Heading3"/>
      </w:pPr>
      <w:r>
        <w:rPr>
          <w:rFonts w:ascii="Calibri" w:hAnsi="Calibri"/>
          <w:b/>
          <w:color w:val="3B4259"/>
          <w:sz w:val="24"/>
        </w:rPr>
        <w:t>Synopsys (SNPS) — Q2 FY2026 Earnings (Reported May 27, 2026)</w:t>
      </w:r>
    </w:p>
    <w:p>
      <w:r>
        <w:rPr>
          <w:rFonts w:ascii="Calibri" w:hAnsi="Calibri"/>
          <w:i/>
          <w:color w:val="525866"/>
          <w:sz w:val="22"/>
        </w:rPr>
        <w:t>Relevance: SNPS is CDNS’s primary EDA competitor and serves the same customer base. SNPS’s Q2 FY2026 (ending April 30, 2026) is the most directly comparable period to CDNS’s Q2 2026 (ending June 30, 2026).</w:t>
      </w:r>
    </w:p>
    <w:p>
      <w:pPr>
        <w:pStyle w:val="ListBullet"/>
        <w:ind w:left="360" w:hanging="360"/>
      </w:pPr>
      <w:r>
        <w:rPr>
          <w:rFonts w:ascii="Calibri" w:hAnsi="Calibri"/>
          <w:b/>
          <w:color w:val="525866"/>
          <w:sz w:val="22"/>
        </w:rPr>
        <w:t>Beat on all metrics:</w:t>
      </w:r>
      <w:r>
        <w:rPr>
          <w:rFonts w:ascii="Calibri" w:hAnsi="Calibri"/>
          <w:color w:val="525866"/>
          <w:sz w:val="22"/>
        </w:rPr>
        <w:t xml:space="preserve"> SNPS reported Q2 FY2026 revenue of $2.276B, non-GAAP operating margin of 39.5%, and non-GAAP EPS of $3.35, all exceeding guidance. Attributed to "solid execution and continued AI-driven demand strength."</w:t>
      </w:r>
    </w:p>
    <w:p>
      <w:pPr>
        <w:pStyle w:val="ListBullet"/>
        <w:ind w:left="360" w:hanging="360"/>
      </w:pPr>
      <w:r>
        <w:rPr>
          <w:rFonts w:ascii="Calibri" w:hAnsi="Calibri"/>
          <w:b/>
          <w:color w:val="525866"/>
          <w:sz w:val="22"/>
        </w:rPr>
        <w:t>Raised full-year guidance:</w:t>
      </w:r>
      <w:r>
        <w:rPr>
          <w:rFonts w:ascii="Calibri" w:hAnsi="Calibri"/>
          <w:color w:val="525866"/>
          <w:sz w:val="22"/>
        </w:rPr>
        <w:t xml:space="preserve"> Updated FY2026 revenue range to $9.625–$9.705B; non-GAAP operating margin raised 50bps to 41% at midpoint; non-GAAP EPS raised $0.34 at midpoint to $14.72–$14.80; free cash flow raised to ~$2B.</w:t>
      </w:r>
    </w:p>
    <w:p>
      <w:pPr>
        <w:pStyle w:val="ListBullet"/>
        <w:ind w:left="360" w:hanging="360"/>
      </w:pPr>
      <w:r>
        <w:rPr>
          <w:rFonts w:ascii="Calibri" w:hAnsi="Calibri"/>
          <w:b/>
          <w:color w:val="525866"/>
          <w:sz w:val="22"/>
        </w:rPr>
        <w:t>Hardware-assisted verification — key growth driver:</w:t>
      </w:r>
      <w:r>
        <w:rPr>
          <w:rFonts w:ascii="Calibri" w:hAnsi="Calibri"/>
          <w:color w:val="525866"/>
          <w:sz w:val="22"/>
        </w:rPr>
        <w:t xml:space="preserve"> "Hardware-assisted verification remained the key growth driver with particular demand from hyperscaler and leading semiconductor customers, who are scaling emulation and prototyping for increasingly complex AI designs." Multiple strategic system wins across ZS5, ZeBu, and HAPS-200. </w:t>
      </w:r>
      <w:r>
        <w:rPr>
          <w:rFonts w:ascii="Calibri" w:hAnsi="Calibri"/>
          <w:b/>
          <w:color w:val="525866"/>
          <w:sz w:val="22"/>
        </w:rPr>
        <w:t>Read-through:</w:t>
      </w:r>
      <w:r>
        <w:rPr>
          <w:rFonts w:ascii="Calibri" w:hAnsi="Calibri"/>
          <w:color w:val="525866"/>
          <w:sz w:val="22"/>
        </w:rPr>
        <w:t xml:space="preserve"> Directly positive for CDNS Palladium Z3 hardware demand in Q2 2026.</w:t>
      </w:r>
    </w:p>
    <w:p>
      <w:pPr>
        <w:pStyle w:val="ListBullet"/>
        <w:ind w:left="360" w:hanging="360"/>
      </w:pPr>
      <w:r>
        <w:rPr>
          <w:rFonts w:ascii="Calibri" w:hAnsi="Calibri"/>
          <w:b/>
          <w:color w:val="525866"/>
          <w:sz w:val="22"/>
        </w:rPr>
        <w:t>IP segment bottomed in Q1, recovering:</w:t>
      </w:r>
      <w:r>
        <w:rPr>
          <w:rFonts w:ascii="Calibri" w:hAnsi="Calibri"/>
          <w:color w:val="525866"/>
          <w:sz w:val="22"/>
        </w:rPr>
        <w:t xml:space="preserve"> "We believe the IP segment bottomed in Q1 and has begun its recovery" with "sequential quarterly improvement throughout the second half." Focusing IP on "highest value opportunities, aligned to AI-driven demand and hyperscaler customization." </w:t>
      </w:r>
      <w:r>
        <w:rPr>
          <w:rFonts w:ascii="Calibri" w:hAnsi="Calibri"/>
          <w:b/>
          <w:color w:val="525866"/>
          <w:sz w:val="22"/>
        </w:rPr>
        <w:t>Read-through:</w:t>
      </w:r>
      <w:r>
        <w:rPr>
          <w:rFonts w:ascii="Calibri" w:hAnsi="Calibri"/>
          <w:color w:val="525866"/>
          <w:sz w:val="22"/>
        </w:rPr>
        <w:t xml:space="preserve"> Positive for CDNS IP, which has been growing 20%+ YoY and is not experiencing the same trough SNPS saw — CDNS IP is already in recovery/growth mode.</w:t>
      </w:r>
    </w:p>
    <w:p>
      <w:pPr>
        <w:pStyle w:val="ListBullet"/>
        <w:ind w:left="360" w:hanging="360"/>
      </w:pPr>
      <w:r>
        <w:rPr>
          <w:rFonts w:ascii="Calibri" w:hAnsi="Calibri"/>
          <w:b/>
          <w:color w:val="525866"/>
          <w:sz w:val="22"/>
        </w:rPr>
        <w:t>Design starts — AI infrastructure increasing, non-AI bottoming:</w:t>
      </w:r>
      <w:r>
        <w:rPr>
          <w:rFonts w:ascii="Calibri" w:hAnsi="Calibri"/>
          <w:color w:val="525866"/>
          <w:sz w:val="22"/>
        </w:rPr>
        <w:t xml:space="preserve"> SNPS tracks design starts "very carefully" and sees "continued increase in chip start" for AI infrastructure companies. For non-AI semiconductor, "the last 2 quarters, based on our data, it seems like it hit the bottom." </w:t>
      </w:r>
      <w:r>
        <w:rPr>
          <w:rFonts w:ascii="Calibri" w:hAnsi="Calibri"/>
          <w:b/>
          <w:color w:val="525866"/>
          <w:sz w:val="22"/>
        </w:rPr>
        <w:t>Read-through:</w:t>
      </w:r>
      <w:r>
        <w:rPr>
          <w:rFonts w:ascii="Calibri" w:hAnsi="Calibri"/>
          <w:color w:val="525866"/>
          <w:sz w:val="22"/>
        </w:rPr>
        <w:t xml:space="preserve"> Confirms CDNS CEO’s assertion that design starts are increasing; non-AI recovery is an incremental positive.</w:t>
      </w:r>
    </w:p>
    <w:p>
      <w:pPr>
        <w:pStyle w:val="ListBullet"/>
        <w:ind w:left="360" w:hanging="360"/>
      </w:pPr>
      <w:r>
        <w:rPr>
          <w:rFonts w:ascii="Calibri" w:hAnsi="Calibri"/>
          <w:b/>
          <w:color w:val="525866"/>
          <w:sz w:val="22"/>
        </w:rPr>
        <w:t>Agentic AI monetization — early but real:</w:t>
      </w:r>
      <w:r>
        <w:rPr>
          <w:rFonts w:ascii="Calibri" w:hAnsi="Calibri"/>
          <w:color w:val="525866"/>
          <w:sz w:val="22"/>
        </w:rPr>
        <w:t xml:space="preserve"> SNPS is exploring "subscription plus consumption" model for AI agents. CEO cited "early signs of monetization with GPU-accelerated EDA, a premium capability driving both increased customer value and contract uplift." </w:t>
      </w:r>
      <w:r>
        <w:rPr>
          <w:rFonts w:ascii="Calibri" w:hAnsi="Calibri"/>
          <w:b/>
          <w:color w:val="525866"/>
          <w:sz w:val="22"/>
        </w:rPr>
        <w:t>Read-through:</w:t>
      </w:r>
      <w:r>
        <w:rPr>
          <w:rFonts w:ascii="Calibri" w:hAnsi="Calibri"/>
          <w:color w:val="525866"/>
          <w:sz w:val="22"/>
        </w:rPr>
        <w:t xml:space="preserve"> Validates CDNS’s own agentic monetization strategy; both companies are at similar early stages.</w:t>
      </w:r>
    </w:p>
    <w:p>
      <w:pPr>
        <w:pStyle w:val="ListBullet"/>
        <w:ind w:left="360" w:hanging="360"/>
      </w:pPr>
      <w:r>
        <w:rPr>
          <w:rFonts w:ascii="Calibri" w:hAnsi="Calibri"/>
          <w:b/>
          <w:color w:val="525866"/>
          <w:sz w:val="22"/>
        </w:rPr>
        <w:t>China — pragmatic, design starts challenged:</w:t>
      </w:r>
      <w:r>
        <w:rPr>
          <w:rFonts w:ascii="Calibri" w:hAnsi="Calibri"/>
          <w:color w:val="525866"/>
          <w:sz w:val="22"/>
        </w:rPr>
        <w:t xml:space="preserve"> "The design start environment in China remains challenged given all the restrictions and the cumulative impact of the restrictions." SNPS China growth in Q2 was partly due to Ansys addition and easy comps. </w:t>
      </w:r>
      <w:r>
        <w:rPr>
          <w:rFonts w:ascii="Calibri" w:hAnsi="Calibri"/>
          <w:b/>
          <w:color w:val="525866"/>
          <w:sz w:val="22"/>
        </w:rPr>
        <w:t>Read-through:</w:t>
      </w:r>
      <w:r>
        <w:rPr>
          <w:rFonts w:ascii="Calibri" w:hAnsi="Calibri"/>
          <w:color w:val="525866"/>
          <w:sz w:val="22"/>
        </w:rPr>
        <w:t xml:space="preserve"> Mild negative for CDNS China (~13% of revenue); CDNS has guided China flat at ~13% for FY2026, consistent with SNPS’s cautious view.</w:t>
      </w:r>
    </w:p>
    <w:p>
      <w:pPr>
        <w:pStyle w:val="Heading3"/>
      </w:pPr>
      <w:r>
        <w:rPr>
          <w:rFonts w:ascii="Calibri" w:hAnsi="Calibri"/>
          <w:b/>
          <w:color w:val="3B4259"/>
          <w:sz w:val="24"/>
        </w:rPr>
        <w:t>Synopsys (SNPS) — Mizuho Technology Conference (June 9, 2026)</w:t>
      </w:r>
    </w:p>
    <w:p>
      <w:r>
        <w:rPr>
          <w:rFonts w:ascii="Calibri" w:hAnsi="Calibri"/>
          <w:i/>
          <w:color w:val="525866"/>
          <w:sz w:val="22"/>
        </w:rPr>
        <w:t>Relevance: Post-earnings conference commentary from SNPS CEO Sassine Ghazi, directly addressing the current demand environment and forward outlook.</w:t>
      </w:r>
    </w:p>
    <w:p>
      <w:pPr>
        <w:pStyle w:val="ListBullet"/>
        <w:ind w:left="360" w:hanging="360"/>
      </w:pPr>
      <w:r>
        <w:rPr>
          <w:rFonts w:ascii="Calibri" w:hAnsi="Calibri"/>
          <w:b/>
          <w:color w:val="525866"/>
          <w:sz w:val="22"/>
        </w:rPr>
        <w:t>Committed to double-digit EDA growth:</w:t>
      </w:r>
      <w:r>
        <w:rPr>
          <w:rFonts w:ascii="Calibri" w:hAnsi="Calibri"/>
          <w:color w:val="525866"/>
          <w:sz w:val="22"/>
        </w:rPr>
        <w:t xml:space="preserve"> "Our commitment is double-digit growth for EDA with the opportunity to expand beyond with the AI monetization potential." Delivered double-digit growth in H1 2026. </w:t>
      </w:r>
      <w:r>
        <w:rPr>
          <w:rFonts w:ascii="Calibri" w:hAnsi="Calibri"/>
          <w:b/>
          <w:color w:val="525866"/>
          <w:sz w:val="22"/>
        </w:rPr>
        <w:t>Read-through:</w:t>
      </w:r>
      <w:r>
        <w:rPr>
          <w:rFonts w:ascii="Calibri" w:hAnsi="Calibri"/>
          <w:color w:val="525866"/>
          <w:sz w:val="22"/>
        </w:rPr>
        <w:t xml:space="preserve"> Confirms the EDA market is growing at double-digit rates, consistent with CDNS’s ~17% revenue growth guide.</w:t>
      </w:r>
    </w:p>
    <w:p>
      <w:pPr>
        <w:pStyle w:val="ListBullet"/>
        <w:ind w:left="360" w:hanging="360"/>
      </w:pPr>
      <w:r>
        <w:rPr>
          <w:rFonts w:ascii="Calibri" w:hAnsi="Calibri"/>
          <w:b/>
          <w:color w:val="525866"/>
          <w:sz w:val="22"/>
        </w:rPr>
        <w:t>IP recovery on track:</w:t>
      </w:r>
      <w:r>
        <w:rPr>
          <w:rFonts w:ascii="Calibri" w:hAnsi="Calibri"/>
          <w:color w:val="525866"/>
          <w:sz w:val="22"/>
        </w:rPr>
        <w:t xml:space="preserve"> "Q1 was the bottom" and sequential growth "delivered in Q2." IP expected to "get back to the corporate growth rate" next year. </w:t>
      </w:r>
      <w:r>
        <w:rPr>
          <w:rFonts w:ascii="Calibri" w:hAnsi="Calibri"/>
          <w:b/>
          <w:color w:val="525866"/>
          <w:sz w:val="22"/>
        </w:rPr>
        <w:t>Read-through:</w:t>
      </w:r>
      <w:r>
        <w:rPr>
          <w:rFonts w:ascii="Calibri" w:hAnsi="Calibri"/>
          <w:color w:val="525866"/>
          <w:sz w:val="22"/>
        </w:rPr>
        <w:t xml:space="preserve"> CDNS IP has not experienced the same trough; this recovery at SNPS removes a competitive headwind.</w:t>
      </w:r>
    </w:p>
    <w:p>
      <w:pPr>
        <w:pStyle w:val="ListBullet"/>
        <w:ind w:left="360" w:hanging="360"/>
      </w:pPr>
      <w:r>
        <w:rPr>
          <w:rFonts w:ascii="Calibri" w:hAnsi="Calibri"/>
          <w:b/>
          <w:color w:val="525866"/>
          <w:sz w:val="22"/>
        </w:rPr>
        <w:t>Margin expansion commitment:</w:t>
      </w:r>
      <w:r>
        <w:rPr>
          <w:rFonts w:ascii="Calibri" w:hAnsi="Calibri"/>
          <w:color w:val="525866"/>
          <w:sz w:val="22"/>
        </w:rPr>
        <w:t xml:space="preserve"> SNPS committed to "more than 300 basis point increase in operating margin" in 2026 and "absolutely committed to get to the mid-40s." </w:t>
      </w:r>
      <w:r>
        <w:rPr>
          <w:rFonts w:ascii="Calibri" w:hAnsi="Calibri"/>
          <w:b/>
          <w:color w:val="525866"/>
          <w:sz w:val="22"/>
        </w:rPr>
        <w:t>Read-through:</w:t>
      </w:r>
      <w:r>
        <w:rPr>
          <w:rFonts w:ascii="Calibri" w:hAnsi="Calibri"/>
          <w:color w:val="525866"/>
          <w:sz w:val="22"/>
        </w:rPr>
        <w:t xml:space="preserve"> CDNS is already guiding to 43.5–44.5% non-GAAP operating margin for FY2026; both companies are on similar margin expansion trajectories.</w:t>
      </w:r>
    </w:p>
    <w:p>
      <w:pPr>
        <w:pStyle w:val="ListBullet"/>
        <w:ind w:left="360" w:hanging="360"/>
      </w:pPr>
      <w:r>
        <w:rPr>
          <w:rFonts w:ascii="Calibri" w:hAnsi="Calibri"/>
          <w:b/>
          <w:color w:val="525866"/>
          <w:sz w:val="22"/>
        </w:rPr>
        <w:t>Hyperscaler COT driving IP demand:</w:t>
      </w:r>
      <w:r>
        <w:rPr>
          <w:rFonts w:ascii="Calibri" w:hAnsi="Calibri"/>
          <w:color w:val="525866"/>
          <w:sz w:val="22"/>
        </w:rPr>
        <w:t xml:space="preserve"> Trend of hyperscalers building "their own chips, COT" is "cannot happen without Synopsys IP." Exploring royalty model with hyperscalers. </w:t>
      </w:r>
      <w:r>
        <w:rPr>
          <w:rFonts w:ascii="Calibri" w:hAnsi="Calibri"/>
          <w:b/>
          <w:color w:val="525866"/>
          <w:sz w:val="22"/>
        </w:rPr>
        <w:t>Read-through:</w:t>
      </w:r>
      <w:r>
        <w:rPr>
          <w:rFonts w:ascii="Calibri" w:hAnsi="Calibri"/>
          <w:color w:val="525866"/>
          <w:sz w:val="22"/>
        </w:rPr>
        <w:t xml:space="preserve"> Same dynamic benefits CDNS IP; CDNS closed a record IP deal with a leading global foundry at 2nm in Q1.</w:t>
      </w:r>
    </w:p>
    <w:p>
      <w:pPr>
        <w:pStyle w:val="ListBullet"/>
        <w:ind w:left="360" w:hanging="360"/>
      </w:pPr>
      <w:r>
        <w:rPr>
          <w:rFonts w:ascii="Calibri" w:hAnsi="Calibri"/>
          <w:b/>
          <w:color w:val="525866"/>
          <w:sz w:val="22"/>
        </w:rPr>
        <w:t>"So much excitement in semiconductor right now":</w:t>
      </w:r>
      <w:r>
        <w:rPr>
          <w:rFonts w:ascii="Calibri" w:hAnsi="Calibri"/>
          <w:color w:val="525866"/>
          <w:sz w:val="22"/>
        </w:rPr>
        <w:t xml:space="preserve"> CEO described the quarter as "fantastic" and expressed high confidence. </w:t>
      </w:r>
      <w:r>
        <w:rPr>
          <w:rFonts w:ascii="Calibri" w:hAnsi="Calibri"/>
          <w:b/>
          <w:color w:val="525866"/>
          <w:sz w:val="22"/>
        </w:rPr>
        <w:t>Read-through:</w:t>
      </w:r>
      <w:r>
        <w:rPr>
          <w:rFonts w:ascii="Calibri" w:hAnsi="Calibri"/>
          <w:color w:val="525866"/>
          <w:sz w:val="22"/>
        </w:rPr>
        <w:t xml:space="preserve"> Broad industry sentiment is constructive heading into CDNS Q2 print.</w:t>
      </w:r>
    </w:p>
    <w:p>
      <w:pPr>
        <w:pStyle w:val="Heading3"/>
      </w:pPr>
      <w:r>
        <w:rPr>
          <w:rFonts w:ascii="Calibri" w:hAnsi="Calibri"/>
          <w:b/>
          <w:color w:val="3B4259"/>
          <w:sz w:val="24"/>
        </w:rPr>
        <w:t>Ambarella (AMBA) — Q1 FY2027 Earnings (Reported May 28, 2026)</w:t>
      </w:r>
    </w:p>
    <w:p>
      <w:r>
        <w:rPr>
          <w:rFonts w:ascii="Calibri" w:hAnsi="Calibri"/>
          <w:i/>
          <w:color w:val="525866"/>
          <w:sz w:val="22"/>
        </w:rPr>
        <w:t>Relevance: AMBA is an edge AI semiconductor company and Cadence customer. Its Q1 FY2027 (ending April 30, 2026) commentary on design activity and advanced node demand is a read-through for EDA tool demand.</w:t>
      </w:r>
    </w:p>
    <w:p>
      <w:pPr>
        <w:pStyle w:val="ListBullet"/>
        <w:ind w:left="360" w:hanging="360"/>
      </w:pPr>
      <w:r>
        <w:rPr>
          <w:rFonts w:ascii="Calibri" w:hAnsi="Calibri"/>
          <w:b/>
          <w:color w:val="525866"/>
          <w:sz w:val="22"/>
        </w:rPr>
        <w:t>Strong new product momentum at advanced nodes:</w:t>
      </w:r>
      <w:r>
        <w:rPr>
          <w:rFonts w:ascii="Calibri" w:hAnsi="Calibri"/>
          <w:color w:val="525866"/>
          <w:sz w:val="22"/>
        </w:rPr>
        <w:t xml:space="preserve"> 5nm CV75/CV72 chips in "steep production ramp"; 2nm CV8 AI SoC expected to commence production H1 FY2028. "15+ robotic design wins" with lifetime revenue exceeding $100M. </w:t>
      </w:r>
      <w:r>
        <w:rPr>
          <w:rFonts w:ascii="Calibri" w:hAnsi="Calibri"/>
          <w:b/>
          <w:color w:val="525866"/>
          <w:sz w:val="22"/>
        </w:rPr>
        <w:t>Read-through:</w:t>
      </w:r>
      <w:r>
        <w:rPr>
          <w:rFonts w:ascii="Calibri" w:hAnsi="Calibri"/>
          <w:color w:val="525866"/>
          <w:sz w:val="22"/>
        </w:rPr>
        <w:t xml:space="preserve"> Active design starts at 5nm and 2nm nodes drive demand for CDNS EDA tools and IP; robotics/physical AI is a growing design activity vertical.</w:t>
      </w:r>
    </w:p>
    <w:p>
      <w:pPr>
        <w:pStyle w:val="ListBullet"/>
        <w:ind w:left="360" w:hanging="360"/>
      </w:pPr>
      <w:r>
        <w:rPr>
          <w:rFonts w:ascii="Calibri" w:hAnsi="Calibri"/>
          <w:b/>
          <w:color w:val="525866"/>
          <w:sz w:val="22"/>
        </w:rPr>
        <w:t>Long-term customer agreements (LTAs) — new phase:</w:t>
      </w:r>
      <w:r>
        <w:rPr>
          <w:rFonts w:ascii="Calibri" w:hAnsi="Calibri"/>
          <w:color w:val="525866"/>
          <w:sz w:val="22"/>
        </w:rPr>
        <w:t xml:space="preserve"> AMBA entering "a new and significant phase" with LTAs, including a material agreement with Hanwha (potential revenue &gt;$800M over 10+ years). </w:t>
      </w:r>
      <w:r>
        <w:rPr>
          <w:rFonts w:ascii="Calibri" w:hAnsi="Calibri"/>
          <w:b/>
          <w:color w:val="525866"/>
          <w:sz w:val="22"/>
        </w:rPr>
        <w:t>Read-through:</w:t>
      </w:r>
      <w:r>
        <w:rPr>
          <w:rFonts w:ascii="Calibri" w:hAnsi="Calibri"/>
          <w:color w:val="525866"/>
          <w:sz w:val="22"/>
        </w:rPr>
        <w:t xml:space="preserve"> Long-term customer commitments at advanced nodes imply sustained EDA and IP engagement; positive for CDNS backlog trajectory.</w:t>
      </w:r>
    </w:p>
    <w:p>
      <w:pPr>
        <w:pStyle w:val="ListBullet"/>
        <w:ind w:left="360" w:hanging="360"/>
      </w:pPr>
      <w:r>
        <w:rPr>
          <w:rFonts w:ascii="Calibri" w:hAnsi="Calibri"/>
          <w:b/>
          <w:color w:val="525866"/>
          <w:sz w:val="22"/>
        </w:rPr>
        <w:t>Samsung supply tightening at 4nm/5nm:</w:t>
      </w:r>
      <w:r>
        <w:rPr>
          <w:rFonts w:ascii="Calibri" w:hAnsi="Calibri"/>
          <w:color w:val="525866"/>
          <w:sz w:val="22"/>
        </w:rPr>
        <w:t xml:space="preserve"> "Samsung just informed us that their foundry supply will be tight next year, particularly on the 4-nano and 5-nano process node." AMBA building inventory proactively. </w:t>
      </w:r>
      <w:r>
        <w:rPr>
          <w:rFonts w:ascii="Calibri" w:hAnsi="Calibri"/>
          <w:b/>
          <w:color w:val="525866"/>
          <w:sz w:val="22"/>
        </w:rPr>
        <w:t>Read-through:</w:t>
      </w:r>
      <w:r>
        <w:rPr>
          <w:rFonts w:ascii="Calibri" w:hAnsi="Calibri"/>
          <w:color w:val="525866"/>
          <w:sz w:val="22"/>
        </w:rPr>
        <w:t xml:space="preserve"> Supply tightness at advanced nodes reflects strong demand; positive for EDA tool intensity as customers accelerate design timelines.</w:t>
      </w:r>
    </w:p>
    <w:p>
      <w:pPr>
        <w:pStyle w:val="ListBullet"/>
        <w:ind w:left="360" w:hanging="360"/>
      </w:pPr>
      <w:r>
        <w:rPr>
          <w:rFonts w:ascii="Calibri" w:hAnsi="Calibri"/>
          <w:b/>
          <w:color w:val="525866"/>
          <w:sz w:val="22"/>
        </w:rPr>
        <w:t>Edge AI market "just getting started":</w:t>
      </w:r>
      <w:r>
        <w:rPr>
          <w:rFonts w:ascii="Calibri" w:hAnsi="Calibri"/>
          <w:color w:val="525866"/>
          <w:sz w:val="22"/>
        </w:rPr>
        <w:t xml:space="preserve"> CEO Fermi Wang: "Demand signals and the long-term secular growth outlook for Edge AI remain very strong." Multiple new applications emerging in robotics, drones, and autonomous vehicles. </w:t>
      </w:r>
      <w:r>
        <w:rPr>
          <w:rFonts w:ascii="Calibri" w:hAnsi="Calibri"/>
          <w:b/>
          <w:color w:val="525866"/>
          <w:sz w:val="22"/>
        </w:rPr>
        <w:t>Read-through:</w:t>
      </w:r>
      <w:r>
        <w:rPr>
          <w:rFonts w:ascii="Calibri" w:hAnsi="Calibri"/>
          <w:color w:val="525866"/>
          <w:sz w:val="22"/>
        </w:rPr>
        <w:t xml:space="preserve"> Physical AI / edge AI is a growing design activity vertical that CDNS CEO has specifically highlighted as a Horizon 2 opportunity.</w:t>
      </w:r>
    </w:p>
    <w:p>
      <w:pPr>
        <w:pStyle w:val="Heading3"/>
      </w:pPr>
      <w:r>
        <w:rPr>
          <w:rFonts w:ascii="Calibri" w:hAnsi="Calibri"/>
          <w:b/>
          <w:color w:val="3B4259"/>
          <w:sz w:val="24"/>
        </w:rPr>
        <w:t>Ambarella (AMBA) — BofA Global Technology Conference (June 2, 2026)</w:t>
      </w:r>
    </w:p>
    <w:p>
      <w:r>
        <w:rPr>
          <w:rFonts w:ascii="Calibri" w:hAnsi="Calibri"/>
          <w:i/>
          <w:color w:val="525866"/>
          <w:sz w:val="22"/>
        </w:rPr>
        <w:t>Relevance: Post-earnings conference commentary from AMBA CEO on current-quarter demand and advanced node design activity.</w:t>
      </w:r>
    </w:p>
    <w:p>
      <w:pPr>
        <w:pStyle w:val="ListBullet"/>
        <w:ind w:left="360" w:hanging="360"/>
      </w:pPr>
      <w:r>
        <w:rPr>
          <w:rFonts w:ascii="Calibri" w:hAnsi="Calibri"/>
          <w:b/>
          <w:color w:val="525866"/>
          <w:sz w:val="22"/>
        </w:rPr>
        <w:t>2nm chip taped out in January:</w:t>
      </w:r>
      <w:r>
        <w:rPr>
          <w:rFonts w:ascii="Calibri" w:hAnsi="Calibri"/>
          <w:color w:val="525866"/>
          <w:sz w:val="22"/>
        </w:rPr>
        <w:t xml:space="preserve"> AMBA’s first 2nm chip (CV8) "was taped out in January, and we’ll be back to our office in a few weeks." Linked to a long-term customer commitment. </w:t>
      </w:r>
      <w:r>
        <w:rPr>
          <w:rFonts w:ascii="Calibri" w:hAnsi="Calibri"/>
          <w:b/>
          <w:color w:val="525866"/>
          <w:sz w:val="22"/>
        </w:rPr>
        <w:t>Read-through:</w:t>
      </w:r>
      <w:r>
        <w:rPr>
          <w:rFonts w:ascii="Calibri" w:hAnsi="Calibri"/>
          <w:color w:val="525866"/>
          <w:sz w:val="22"/>
        </w:rPr>
        <w:t xml:space="preserve"> Active 2nm design activity at a Cadence customer; 2nm designs require the most sophisticated EDA tools and IP.</w:t>
      </w:r>
    </w:p>
    <w:p>
      <w:pPr>
        <w:pStyle w:val="ListBullet"/>
        <w:ind w:left="360" w:hanging="360"/>
      </w:pPr>
      <w:r>
        <w:rPr>
          <w:rFonts w:ascii="Calibri" w:hAnsi="Calibri"/>
          <w:b/>
          <w:color w:val="525866"/>
          <w:sz w:val="22"/>
        </w:rPr>
        <w:t>Annual guidance unchanged Q1 to Q2:</w:t>
      </w:r>
      <w:r>
        <w:rPr>
          <w:rFonts w:ascii="Calibri" w:hAnsi="Calibri"/>
          <w:color w:val="525866"/>
          <w:sz w:val="22"/>
        </w:rPr>
        <w:t xml:space="preserve"> "Our annual guidance from Q1 to Q2 didn’t change. That reflects that we consider all possible scenarios." Gross margin guidance stable at 59.75%. </w:t>
      </w:r>
      <w:r>
        <w:rPr>
          <w:rFonts w:ascii="Calibri" w:hAnsi="Calibri"/>
          <w:b/>
          <w:color w:val="525866"/>
          <w:sz w:val="22"/>
        </w:rPr>
        <w:t>Read-through:</w:t>
      </w:r>
      <w:r>
        <w:rPr>
          <w:rFonts w:ascii="Calibri" w:hAnsi="Calibri"/>
          <w:color w:val="525866"/>
          <w:sz w:val="22"/>
        </w:rPr>
        <w:t xml:space="preserve"> Stable customer spending environment; no demand deterioration signals.</w:t>
      </w:r>
    </w:p>
    <w:p>
      <w:pPr>
        <w:pStyle w:val="ListBullet"/>
        <w:ind w:left="360" w:hanging="360"/>
      </w:pPr>
      <w:r>
        <w:rPr>
          <w:rFonts w:ascii="Calibri" w:hAnsi="Calibri"/>
          <w:b/>
          <w:color w:val="525866"/>
          <w:sz w:val="22"/>
        </w:rPr>
        <w:t>Foundry pricing not a barrier to design starts:</w:t>
      </w:r>
      <w:r>
        <w:rPr>
          <w:rFonts w:ascii="Calibri" w:hAnsi="Calibri"/>
          <w:color w:val="525866"/>
          <w:sz w:val="22"/>
        </w:rPr>
        <w:t xml:space="preserve"> "Foundry hasn’t raised a price" at the foundry level; other supply chain costs up modestly. </w:t>
      </w:r>
      <w:r>
        <w:rPr>
          <w:rFonts w:ascii="Calibri" w:hAnsi="Calibri"/>
          <w:b/>
          <w:color w:val="525866"/>
          <w:sz w:val="22"/>
        </w:rPr>
        <w:t>Read-through:</w:t>
      </w:r>
      <w:r>
        <w:rPr>
          <w:rFonts w:ascii="Calibri" w:hAnsi="Calibri"/>
          <w:color w:val="525866"/>
          <w:sz w:val="22"/>
        </w:rPr>
        <w:t xml:space="preserve"> Consistent with CDNS CEO’s pushback that rising foundry costs are not limiting design starts; value of custom silicon is high enough to justify investment.</w:t>
      </w:r>
    </w:p>
    <w:p>
      <w:r>
        <w:rPr>
          <w:rFonts w:ascii="Calibri" w:hAnsi="Calibri"/>
          <w:i/>
          <w:color w:val="525866"/>
          <w:sz w:val="22"/>
        </w:rPr>
        <w:t>Sources: Synopsys Q2 FY2026 Earnings Call Transcript (May 27, 2026); Synopsys Mizuho Technology Conference Transcript (June 9, 2026); Ambarella Q1 FY2027 Earnings Call Transcript (May 28, 2026); Ambarella BofA Global Technology Conference Transcript (June 2,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 no discretionary selling and no open-market purchases. The pattern is routine and does not signal any unusual insider view on the upcoming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Teng Chin-Chi</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4,500</w:t>
            </w:r>
          </w:p>
        </w:tc>
        <w:tc>
          <w:tcPr>
            <w:tcW w:type="dxa" w:w="1234"/>
          </w:tcPr>
          <w:p>
            <w:r>
              <w:rPr>
                <w:rFonts w:ascii="Calibri" w:hAnsi="Calibri"/>
                <w:sz w:val="22"/>
              </w:rPr>
              <w:t>~$1.51M</w:t>
            </w:r>
          </w:p>
        </w:tc>
        <w:tc>
          <w:tcPr>
            <w:tcW w:type="dxa" w:w="1234"/>
          </w:tcPr>
          <w:p>
            <w:r>
              <w:rPr>
                <w:rFonts w:ascii="Calibri" w:hAnsi="Calibri"/>
                <w:sz w:val="22"/>
              </w:rPr>
              <w:t>Jul 22, 2026</w:t>
            </w:r>
          </w:p>
        </w:tc>
        <w:tc>
          <w:tcPr>
            <w:tcW w:type="dxa" w:w="1234"/>
          </w:tcPr>
          <w:p>
            <w:r>
              <w:rPr>
                <w:rFonts w:ascii="Calibri" w:hAnsi="Calibri"/>
                <w:sz w:val="22"/>
              </w:rPr>
              <w:t>Pre-planned; 3% of holdings</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2,000</w:t>
            </w:r>
          </w:p>
        </w:tc>
        <w:tc>
          <w:tcPr>
            <w:tcW w:type="dxa" w:w="1234"/>
          </w:tcPr>
          <w:p>
            <w:r>
              <w:rPr>
                <w:rFonts w:ascii="Calibri" w:hAnsi="Calibri"/>
                <w:sz w:val="22"/>
              </w:rPr>
              <w:t>~$767K</w:t>
            </w:r>
          </w:p>
        </w:tc>
        <w:tc>
          <w:tcPr>
            <w:tcW w:type="dxa" w:w="1234"/>
          </w:tcPr>
          <w:p>
            <w:r>
              <w:rPr>
                <w:rFonts w:ascii="Calibri" w:hAnsi="Calibri"/>
                <w:sz w:val="22"/>
              </w:rPr>
              <w:t>Jul 15, 2026</w:t>
            </w:r>
          </w:p>
        </w:tc>
        <w:tc>
          <w:tcPr>
            <w:tcW w:type="dxa" w:w="1234"/>
          </w:tcPr>
          <w:p>
            <w:r>
              <w:rPr>
                <w:rFonts w:ascii="Calibri" w:hAnsi="Calibri"/>
                <w:sz w:val="22"/>
              </w:rPr>
              <w:t>Pre-planned; 2% of holdings</w:t>
            </w:r>
          </w:p>
        </w:tc>
      </w:tr>
      <w:tr>
        <w:tc>
          <w:tcPr>
            <w:tcW w:type="dxa" w:w="1234"/>
          </w:tcPr>
          <w:p>
            <w:r>
              <w:rPr>
                <w:rFonts w:ascii="Calibri" w:hAnsi="Calibri"/>
                <w:sz w:val="22"/>
              </w:rPr>
              <w:t>Teng Chin-Chi</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4,500</w:t>
            </w:r>
          </w:p>
        </w:tc>
        <w:tc>
          <w:tcPr>
            <w:tcW w:type="dxa" w:w="1234"/>
          </w:tcPr>
          <w:p>
            <w:r>
              <w:rPr>
                <w:rFonts w:ascii="Calibri" w:hAnsi="Calibri"/>
                <w:sz w:val="22"/>
              </w:rPr>
              <w:t>~$1.68M (est.)</w:t>
            </w:r>
          </w:p>
        </w:tc>
        <w:tc>
          <w:tcPr>
            <w:tcW w:type="dxa" w:w="1234"/>
          </w:tcPr>
          <w:p>
            <w:r>
              <w:rPr>
                <w:rFonts w:ascii="Calibri" w:hAnsi="Calibri"/>
                <w:sz w:val="22"/>
              </w:rPr>
              <w:t>Jun 22, 2026</w:t>
            </w:r>
          </w:p>
        </w:tc>
        <w:tc>
          <w:tcPr>
            <w:tcW w:type="dxa" w:w="1234"/>
          </w:tcPr>
          <w:p>
            <w:r>
              <w:rPr>
                <w:rFonts w:ascii="Calibri" w:hAnsi="Calibri"/>
                <w:sz w:val="22"/>
              </w:rPr>
              <w:t>Pre-planned; recurring monthly pattern</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2,000</w:t>
            </w:r>
          </w:p>
        </w:tc>
        <w:tc>
          <w:tcPr>
            <w:tcW w:type="dxa" w:w="1234"/>
          </w:tcPr>
          <w:p>
            <w:r>
              <w:rPr>
                <w:rFonts w:ascii="Calibri" w:hAnsi="Calibri"/>
                <w:sz w:val="22"/>
              </w:rPr>
              <w:t>~$790K (est.)</w:t>
            </w:r>
          </w:p>
        </w:tc>
        <w:tc>
          <w:tcPr>
            <w:tcW w:type="dxa" w:w="1234"/>
          </w:tcPr>
          <w:p>
            <w:r>
              <w:rPr>
                <w:rFonts w:ascii="Calibri" w:hAnsi="Calibri"/>
                <w:sz w:val="22"/>
              </w:rPr>
              <w:t>Jun 15, 2026</w:t>
            </w:r>
          </w:p>
        </w:tc>
        <w:tc>
          <w:tcPr>
            <w:tcW w:type="dxa" w:w="1234"/>
          </w:tcPr>
          <w:p>
            <w:r>
              <w:rPr>
                <w:rFonts w:ascii="Calibri" w:hAnsi="Calibri"/>
                <w:sz w:val="22"/>
              </w:rPr>
              <w:t>Pre-planned; recurring monthly pattern</w:t>
            </w:r>
          </w:p>
        </w:tc>
      </w:tr>
      <w:tr>
        <w:tc>
          <w:tcPr>
            <w:tcW w:type="dxa" w:w="1234"/>
          </w:tcPr>
          <w:p>
            <w:r>
              <w:rPr>
                <w:rFonts w:ascii="Calibri" w:hAnsi="Calibri"/>
                <w:sz w:val="22"/>
              </w:rPr>
              <w:t>Plummer James 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1,511</w:t>
            </w:r>
          </w:p>
        </w:tc>
        <w:tc>
          <w:tcPr>
            <w:tcW w:type="dxa" w:w="1234"/>
          </w:tcPr>
          <w:p>
            <w:r>
              <w:rPr>
                <w:rFonts w:ascii="Calibri" w:hAnsi="Calibri"/>
                <w:sz w:val="22"/>
              </w:rPr>
              <w:t>~$574K (est.)</w:t>
            </w:r>
          </w:p>
        </w:tc>
        <w:tc>
          <w:tcPr>
            <w:tcW w:type="dxa" w:w="1234"/>
          </w:tcPr>
          <w:p>
            <w:r>
              <w:rPr>
                <w:rFonts w:ascii="Calibri" w:hAnsi="Calibri"/>
                <w:sz w:val="22"/>
              </w:rPr>
              <w:t>Jun 11, 2026</w:t>
            </w:r>
          </w:p>
        </w:tc>
        <w:tc>
          <w:tcPr>
            <w:tcW w:type="dxa" w:w="1234"/>
          </w:tcPr>
          <w:p>
            <w:r>
              <w:rPr>
                <w:rFonts w:ascii="Calibri" w:hAnsi="Calibri"/>
                <w:sz w:val="22"/>
              </w:rPr>
              <w:t>Pre-planned; indirect (held by trust)</w:t>
            </w:r>
          </w:p>
        </w:tc>
      </w:tr>
      <w:tr>
        <w:tc>
          <w:tcPr>
            <w:tcW w:type="dxa" w:w="1234"/>
          </w:tcPr>
          <w:p>
            <w:r>
              <w:rPr>
                <w:rFonts w:ascii="Calibri" w:hAnsi="Calibri"/>
                <w:sz w:val="22"/>
              </w:rPr>
              <w:t>Brennan Ita M</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180</w:t>
            </w:r>
          </w:p>
        </w:tc>
        <w:tc>
          <w:tcPr>
            <w:tcW w:type="dxa" w:w="1234"/>
          </w:tcPr>
          <w:p>
            <w:r>
              <w:rPr>
                <w:rFonts w:ascii="Calibri" w:hAnsi="Calibri"/>
                <w:sz w:val="22"/>
              </w:rPr>
              <w:t>~$69K (est.)</w:t>
            </w:r>
          </w:p>
        </w:tc>
        <w:tc>
          <w:tcPr>
            <w:tcW w:type="dxa" w:w="1234"/>
          </w:tcPr>
          <w:p>
            <w:r>
              <w:rPr>
                <w:rFonts w:ascii="Calibri" w:hAnsi="Calibri"/>
                <w:sz w:val="22"/>
              </w:rPr>
              <w:t>Jun 10, 2026</w:t>
            </w:r>
          </w:p>
        </w:tc>
        <w:tc>
          <w:tcPr>
            <w:tcW w:type="dxa" w:w="1234"/>
          </w:tcPr>
          <w:p>
            <w:r>
              <w:rPr>
                <w:rFonts w:ascii="Calibri" w:hAnsi="Calibri"/>
                <w:sz w:val="22"/>
              </w:rPr>
              <w:t>Pre-planned; small/routine</w:t>
            </w:r>
          </w:p>
        </w:tc>
      </w:tr>
      <w:tr>
        <w:tc>
          <w:tcPr>
            <w:tcW w:type="dxa" w:w="1234"/>
          </w:tcPr>
          <w:p>
            <w:r>
              <w:rPr>
                <w:rFonts w:ascii="Calibri" w:hAnsi="Calibri"/>
                <w:sz w:val="22"/>
              </w:rPr>
              <w:t>Wall John M</w:t>
            </w:r>
          </w:p>
        </w:tc>
        <w:tc>
          <w:tcPr>
            <w:tcW w:type="dxa" w:w="1234"/>
          </w:tcPr>
          <w:p>
            <w:r>
              <w:rPr>
                <w:rFonts w:ascii="Calibri" w:hAnsi="Calibri"/>
                <w:sz w:val="22"/>
              </w:rPr>
              <w:t>Sr. VP &amp; CFO</w:t>
            </w:r>
          </w:p>
        </w:tc>
        <w:tc>
          <w:tcPr>
            <w:tcW w:type="dxa" w:w="1234"/>
          </w:tcPr>
          <w:p>
            <w:r>
              <w:rPr>
                <w:rFonts w:ascii="Calibri" w:hAnsi="Calibri"/>
                <w:sz w:val="22"/>
              </w:rPr>
              <w:t>10b5-1 Planned Sale</w:t>
            </w:r>
          </w:p>
        </w:tc>
        <w:tc>
          <w:tcPr>
            <w:tcW w:type="dxa" w:w="1234"/>
          </w:tcPr>
          <w:p>
            <w:r>
              <w:rPr>
                <w:rFonts w:ascii="Calibri" w:hAnsi="Calibri"/>
                <w:sz w:val="22"/>
              </w:rPr>
              <w:t>5,000</w:t>
            </w:r>
          </w:p>
        </w:tc>
        <w:tc>
          <w:tcPr>
            <w:tcW w:type="dxa" w:w="1234"/>
          </w:tcPr>
          <w:p>
            <w:r>
              <w:rPr>
                <w:rFonts w:ascii="Calibri" w:hAnsi="Calibri"/>
                <w:sz w:val="22"/>
              </w:rPr>
              <w:t>~$1.78M (est.)</w:t>
            </w:r>
          </w:p>
        </w:tc>
        <w:tc>
          <w:tcPr>
            <w:tcW w:type="dxa" w:w="1234"/>
          </w:tcPr>
          <w:p>
            <w:r>
              <w:rPr>
                <w:rFonts w:ascii="Calibri" w:hAnsi="Calibri"/>
                <w:sz w:val="22"/>
              </w:rPr>
              <w:t>May 5, 2026</w:t>
            </w:r>
          </w:p>
        </w:tc>
        <w:tc>
          <w:tcPr>
            <w:tcW w:type="dxa" w:w="1234"/>
          </w:tcPr>
          <w:p>
            <w:r>
              <w:rPr>
                <w:rFonts w:ascii="Calibri" w:hAnsi="Calibri"/>
                <w:sz w:val="22"/>
              </w:rPr>
              <w:t>Pre-planned; CFO sale shortly after Q1 earnings</w:t>
            </w:r>
          </w:p>
        </w:tc>
      </w:tr>
      <w:tr>
        <w:tc>
          <w:tcPr>
            <w:tcW w:type="dxa" w:w="1234"/>
          </w:tcPr>
          <w:p>
            <w:r>
              <w:rPr>
                <w:rFonts w:ascii="Calibri" w:hAnsi="Calibri"/>
                <w:sz w:val="22"/>
              </w:rPr>
              <w:t>Cunningham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1,000</w:t>
            </w:r>
          </w:p>
        </w:tc>
        <w:tc>
          <w:tcPr>
            <w:tcW w:type="dxa" w:w="1234"/>
          </w:tcPr>
          <w:p>
            <w:r>
              <w:rPr>
                <w:rFonts w:ascii="Calibri" w:hAnsi="Calibri"/>
                <w:sz w:val="22"/>
              </w:rPr>
              <w:t>~$341K (est.)</w:t>
            </w:r>
          </w:p>
        </w:tc>
        <w:tc>
          <w:tcPr>
            <w:tcW w:type="dxa" w:w="1234"/>
          </w:tcPr>
          <w:p>
            <w:r>
              <w:rPr>
                <w:rFonts w:ascii="Calibri" w:hAnsi="Calibri"/>
                <w:sz w:val="22"/>
              </w:rPr>
              <w:t>May 1, 2026</w:t>
            </w:r>
          </w:p>
        </w:tc>
        <w:tc>
          <w:tcPr>
            <w:tcW w:type="dxa" w:w="1234"/>
          </w:tcPr>
          <w:p>
            <w:r>
              <w:rPr>
                <w:rFonts w:ascii="Calibri" w:hAnsi="Calibri"/>
                <w:sz w:val="22"/>
              </w:rPr>
              <w:t>Pre-planned</w:t>
            </w:r>
          </w:p>
        </w:tc>
      </w:tr>
      <w:tr>
        <w:tc>
          <w:tcPr>
            <w:tcW w:type="dxa" w:w="1234"/>
          </w:tcPr>
          <w:p>
            <w:r>
              <w:rPr>
                <w:rFonts w:ascii="Calibri" w:hAnsi="Calibri"/>
                <w:sz w:val="22"/>
              </w:rPr>
              <w:t>Scannell Paul</w:t>
            </w:r>
          </w:p>
        </w:tc>
        <w:tc>
          <w:tcPr>
            <w:tcW w:type="dxa" w:w="1234"/>
          </w:tcPr>
          <w:p>
            <w:r>
              <w:rPr>
                <w:rFonts w:ascii="Calibri" w:hAnsi="Calibri"/>
                <w:sz w:val="22"/>
              </w:rPr>
              <w:t>Sr. Vice President</w:t>
            </w:r>
          </w:p>
        </w:tc>
        <w:tc>
          <w:tcPr>
            <w:tcW w:type="dxa" w:w="1234"/>
          </w:tcPr>
          <w:p>
            <w:r>
              <w:rPr>
                <w:rFonts w:ascii="Calibri" w:hAnsi="Calibri"/>
                <w:sz w:val="22"/>
              </w:rPr>
              <w:t>10b5-1 Planned Sale</w:t>
            </w:r>
          </w:p>
        </w:tc>
        <w:tc>
          <w:tcPr>
            <w:tcW w:type="dxa" w:w="1234"/>
          </w:tcPr>
          <w:p>
            <w:r>
              <w:rPr>
                <w:rFonts w:ascii="Calibri" w:hAnsi="Calibri"/>
                <w:sz w:val="22"/>
              </w:rPr>
              <w:t>10,500</w:t>
            </w:r>
          </w:p>
        </w:tc>
        <w:tc>
          <w:tcPr>
            <w:tcW w:type="dxa" w:w="1234"/>
          </w:tcPr>
          <w:p>
            <w:r>
              <w:rPr>
                <w:rFonts w:ascii="Calibri" w:hAnsi="Calibri"/>
                <w:sz w:val="22"/>
              </w:rPr>
              <w:t>~$3.58M (est.)</w:t>
            </w:r>
          </w:p>
        </w:tc>
        <w:tc>
          <w:tcPr>
            <w:tcW w:type="dxa" w:w="1234"/>
          </w:tcPr>
          <w:p>
            <w:r>
              <w:rPr>
                <w:rFonts w:ascii="Calibri" w:hAnsi="Calibri"/>
                <w:sz w:val="22"/>
              </w:rPr>
              <w:t>May 1, 2026</w:t>
            </w:r>
          </w:p>
        </w:tc>
        <w:tc>
          <w:tcPr>
            <w:tcW w:type="dxa" w:w="1234"/>
          </w:tcPr>
          <w:p>
            <w:r>
              <w:rPr>
                <w:rFonts w:ascii="Calibri" w:hAnsi="Calibri"/>
                <w:sz w:val="22"/>
              </w:rPr>
              <w:t>Pre-planned; largest single transaction in period</w:t>
            </w:r>
          </w:p>
        </w:tc>
      </w:tr>
    </w:tbl>
    <w:p>
      <w:r>
        <w:rPr>
          <w:rFonts w:ascii="Calibri" w:hAnsi="Calibri"/>
          <w:i/>
          <w:color w:val="525866"/>
          <w:sz w:val="22"/>
        </w:rPr>
        <w:t>Source: SEC Form 4 Filings (Insider Transaction Data, SEC EDGAR). All transactions are 10b5-1 pre-planned sales; no open-market discretionary buys or sells. No unusual clustering or size anomalies. The absence of any open-market purchases is neutral — not a negative signal given the pre-planned nature of all activity.</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primary risks are not demand-related — they are execution risks around Hexagon integration, H2 guidance conservatism, and China regulatory dynamics. The call will likely be dominated by questions on agentic AI monetization timing and whether management is willing to raise the H2 bar.</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Hexagon integration friction:</w:t>
      </w:r>
      <w:r>
        <w:rPr>
          <w:rFonts w:ascii="Calibri" w:hAnsi="Calibri"/>
          <w:color w:val="525866"/>
          <w:sz w:val="22"/>
        </w:rPr>
        <w:t xml:space="preserve"> Hexagon D&amp;E is first-half weighted in revenue profile, meaning H2 contribution will be lower. Any integration cost overruns or revenue shortfall vs. the $160M FY2026 guide would pressure the full-year EPS outlook. Management has guided ~5–10% margins on Hexagon revenue in 2026 — any deterioration here flows directly to EPS.</w:t>
      </w:r>
    </w:p>
    <w:p>
      <w:pPr>
        <w:pStyle w:val="ListBullet"/>
        <w:ind w:left="360" w:hanging="360"/>
      </w:pPr>
      <w:r>
        <w:rPr>
          <w:rFonts w:ascii="Calibri" w:hAnsi="Calibri"/>
          <w:b/>
          <w:color w:val="525866"/>
          <w:sz w:val="22"/>
        </w:rPr>
        <w:t>Second-half guidance conservatism:</w:t>
      </w:r>
      <w:r>
        <w:rPr>
          <w:rFonts w:ascii="Calibri" w:hAnsi="Calibri"/>
          <w:color w:val="525866"/>
          <w:sz w:val="22"/>
        </w:rPr>
        <w:t xml:space="preserve"> Management described H2 guidance as containing "appropriate prudence." If the Q2 beat is clean but H2 guidance is not raised, the stock may not react positively despite the beat. The market will be looking for evidence that H2 conservatism is being unwound.</w:t>
      </w:r>
    </w:p>
    <w:p>
      <w:pPr>
        <w:pStyle w:val="ListBullet"/>
        <w:ind w:left="360" w:hanging="360"/>
      </w:pPr>
      <w:r>
        <w:rPr>
          <w:rFonts w:ascii="Calibri" w:hAnsi="Calibri"/>
          <w:b/>
          <w:color w:val="525866"/>
          <w:sz w:val="22"/>
        </w:rPr>
        <w:t>China regulatory risk:</w:t>
      </w:r>
      <w:r>
        <w:rPr>
          <w:rFonts w:ascii="Calibri" w:hAnsi="Calibri"/>
          <w:color w:val="525866"/>
          <w:sz w:val="22"/>
        </w:rPr>
        <w:t xml:space="preserve"> CDNS operates under a July 2025 DOJ/BIS settlement with ongoing compliance obligations. China is ~13% of revenue. Any new export control actions or compliance issues could materially impact this segment. SNPS noted China design starts remain "challenged" due to cumulative restrictions.</w:t>
      </w:r>
    </w:p>
    <w:p>
      <w:pPr>
        <w:pStyle w:val="ListBullet"/>
        <w:ind w:left="360" w:hanging="360"/>
      </w:pPr>
      <w:r>
        <w:rPr>
          <w:rFonts w:ascii="Calibri" w:hAnsi="Calibri"/>
          <w:b/>
          <w:color w:val="525866"/>
          <w:sz w:val="22"/>
        </w:rPr>
        <w:t>Agentic AI monetization timing:</w:t>
      </w:r>
      <w:r>
        <w:rPr>
          <w:rFonts w:ascii="Calibri" w:hAnsi="Calibri"/>
          <w:color w:val="525866"/>
          <w:sz w:val="22"/>
        </w:rPr>
        <w:t xml:space="preserve"> Management has been clear that agentic AI monetization is not yet in guidance and could take two contract cycles to materialize. If the Street begins pricing in near-term agentic revenue that doesn’t appear in guidance, there is a risk of disappointment.</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CDNS trades at 27.6x NTM EV/EBITDA, still a significant premium to software peers. Any guidance miss or tone shift could accelerate the de-rating that has already begun over the past month.</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Hexagon update:</w:t>
      </w:r>
      <w:r>
        <w:rPr>
          <w:rFonts w:ascii="Calibri" w:hAnsi="Calibri"/>
          <w:color w:val="525866"/>
          <w:sz w:val="22"/>
        </w:rPr>
        <w:t xml:space="preserve"> Is the $160M FY2026 revenue contribution on track? How are margins trending vs. the 5–10% guide? What is the integration timeline to reach BETA-like margin improvement in 2027?</w:t>
      </w:r>
    </w:p>
    <w:p>
      <w:pPr>
        <w:pStyle w:val="ListNumber"/>
        <w:ind w:left="360" w:hanging="360"/>
      </w:pPr>
      <w:r>
        <w:rPr>
          <w:rFonts w:ascii="Calibri" w:hAnsi="Calibri"/>
          <w:b/>
          <w:color w:val="525866"/>
          <w:sz w:val="22"/>
        </w:rPr>
        <w:t>H2 guidance — is the prudence being unwound?</w:t>
      </w:r>
      <w:r>
        <w:rPr>
          <w:rFonts w:ascii="Calibri" w:hAnsi="Calibri"/>
          <w:color w:val="525866"/>
          <w:sz w:val="22"/>
        </w:rPr>
        <w:t xml:space="preserve"> Given the strong Q2 beat and constructive demand commentary, is management willing to raise the H2 bar? What would need to happen for the full-year revenue guide to move above $6.225B?</w:t>
      </w:r>
    </w:p>
    <w:p>
      <w:pPr>
        <w:pStyle w:val="ListNumber"/>
        <w:ind w:left="360" w:hanging="360"/>
      </w:pPr>
      <w:r>
        <w:rPr>
          <w:rFonts w:ascii="Calibri" w:hAnsi="Calibri"/>
          <w:b/>
          <w:color w:val="525866"/>
          <w:sz w:val="22"/>
        </w:rPr>
        <w:t>Agentic AI monetization — any early contract structures?</w:t>
      </w:r>
      <w:r>
        <w:rPr>
          <w:rFonts w:ascii="Calibri" w:hAnsi="Calibri"/>
          <w:color w:val="525866"/>
          <w:sz w:val="22"/>
        </w:rPr>
        <w:t xml:space="preserve"> Has ChipStack Level-5 (launched June 1) generated any signed agreements or LOIs? Is the subscription-plus-consumption model being piloted with any customers? When does management expect this to appear in revenue?</w:t>
      </w:r>
    </w:p>
    <w:p>
      <w:pPr>
        <w:pStyle w:val="ListNumber"/>
        <w:ind w:left="360" w:hanging="360"/>
      </w:pPr>
      <w:r>
        <w:rPr>
          <w:rFonts w:ascii="Calibri" w:hAnsi="Calibri"/>
          <w:b/>
          <w:color w:val="525866"/>
          <w:sz w:val="22"/>
        </w:rPr>
        <w:t>Backlog trajectory:</w:t>
      </w:r>
      <w:r>
        <w:rPr>
          <w:rFonts w:ascii="Calibri" w:hAnsi="Calibri"/>
          <w:color w:val="525866"/>
          <w:sz w:val="22"/>
        </w:rPr>
        <w:t xml:space="preserve"> Q1 backlog was $8.0B (record). Is Q2 backlog on track to grow sequentially? What is the mix of multi-year vs. annual contracts in the new bookings?</w:t>
      </w:r>
    </w:p>
    <w:p>
      <w:pPr>
        <w:pStyle w:val="ListNumber"/>
        <w:ind w:left="360" w:hanging="360"/>
      </w:pPr>
      <w:r>
        <w:rPr>
          <w:rFonts w:ascii="Calibri" w:hAnsi="Calibri"/>
          <w:b/>
          <w:color w:val="525866"/>
          <w:sz w:val="22"/>
        </w:rPr>
        <w:t>IP business — Intel 14A and foundry expansion:</w:t>
      </w:r>
      <w:r>
        <w:rPr>
          <w:rFonts w:ascii="Calibri" w:hAnsi="Calibri"/>
          <w:color w:val="525866"/>
          <w:sz w:val="22"/>
        </w:rPr>
        <w:t xml:space="preserve"> Following the June 8 Intel Foundry DTCO announcement, what is the revenue opportunity at Intel 14A? How is the Samsung SF2 engagement progressing? Is Rapidus becoming a meaningful IP opportunity?</w:t>
      </w:r>
    </w:p>
    <w:p>
      <w:pPr>
        <w:pStyle w:val="ListNumber"/>
        <w:ind w:left="360" w:hanging="360"/>
      </w:pPr>
      <w:r>
        <w:rPr>
          <w:rFonts w:ascii="Calibri" w:hAnsi="Calibri"/>
          <w:b/>
          <w:color w:val="525866"/>
          <w:sz w:val="22"/>
        </w:rPr>
        <w:t>China — compliance and demand:</w:t>
      </w:r>
      <w:r>
        <w:rPr>
          <w:rFonts w:ascii="Calibri" w:hAnsi="Calibri"/>
          <w:color w:val="525866"/>
          <w:sz w:val="22"/>
        </w:rPr>
        <w:t xml:space="preserve"> Is the DOJ/BIS settlement compliance creating any operational friction? Is China tracking to the ~13% of revenue guide for FY2026? Any changes to the export control environment since Q1?</w:t>
      </w:r>
    </w:p>
    <w:p>
      <w:pPr>
        <w:pStyle w:val="ListNumber"/>
        <w:ind w:left="360" w:hanging="360"/>
      </w:pPr>
      <w:r>
        <w:rPr>
          <w:rFonts w:ascii="Calibri" w:hAnsi="Calibri"/>
          <w:b/>
          <w:color w:val="525866"/>
          <w:sz w:val="22"/>
        </w:rPr>
        <w:t>Hardware cycle — Z3 capacity and Z4/Z5 timeline:</w:t>
      </w:r>
      <w:r>
        <w:rPr>
          <w:rFonts w:ascii="Calibri" w:hAnsi="Calibri"/>
          <w:color w:val="525866"/>
          <w:sz w:val="22"/>
        </w:rPr>
        <w:t xml:space="preserve"> Q1 was the "best hardware quarter ever." Is Q2 hardware tracking similarly? What is the Z4/Z5 development timeline and when should investors expect a product announcement?</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Revenue: https://insights.visiblealpha.com/mex/CDNS_US/NMV/BL | EPS &amp; Operating Income: https://insights.visiblealpha.com/mex/CDNS_US/NMV/IS | Segment Revenue (IP, SDA): https://insights.visiblealpha.com/mex/CDNS_US/NMV/RV | Backlog: https://insights.visiblealpha.com/mex/CDNS_US/NMV/BL</w:t>
      </w:r>
    </w:p>
    <w:p>
      <w:pPr>
        <w:pStyle w:val="ListBullet"/>
        <w:ind w:left="360" w:hanging="360"/>
      </w:pPr>
      <w:r>
        <w:rPr>
          <w:rFonts w:ascii="Calibri" w:hAnsi="Calibri"/>
          <w:b/>
          <w:color w:val="525866"/>
          <w:sz w:val="22"/>
        </w:rPr>
        <w:t>Cadence Q1 2026 CFO Commentary (8-K EX-99.02)</w:t>
      </w:r>
      <w:r>
        <w:rPr>
          <w:rFonts w:ascii="Calibri" w:hAnsi="Calibri"/>
          <w:color w:val="525866"/>
          <w:sz w:val="22"/>
        </w:rPr>
        <w:t xml:space="preserve"> — Q2 and FY2026 guidance. Filed April 27, 2026.</w:t>
      </w:r>
    </w:p>
    <w:p>
      <w:pPr>
        <w:pStyle w:val="ListBullet"/>
        <w:ind w:left="360" w:hanging="360"/>
      </w:pPr>
      <w:r>
        <w:rPr>
          <w:rFonts w:ascii="Calibri" w:hAnsi="Calibri"/>
          <w:b/>
          <w:color w:val="525866"/>
          <w:sz w:val="22"/>
        </w:rPr>
        <w:t>Cadence Q1 2026 Earnings Call Transcript</w:t>
      </w:r>
      <w:r>
        <w:rPr>
          <w:rFonts w:ascii="Calibri" w:hAnsi="Calibri"/>
          <w:color w:val="525866"/>
          <w:sz w:val="22"/>
        </w:rPr>
        <w:t xml:space="preserve"> — Management commentary on backlog, hardware, IP, China, Hexagon, and agentic AI. April 27, 2026.</w:t>
      </w:r>
    </w:p>
    <w:p>
      <w:pPr>
        <w:pStyle w:val="ListBullet"/>
        <w:ind w:left="360" w:hanging="360"/>
      </w:pPr>
      <w:r>
        <w:rPr>
          <w:rFonts w:ascii="Calibri" w:hAnsi="Calibri"/>
          <w:b/>
          <w:color w:val="525866"/>
          <w:sz w:val="22"/>
        </w:rPr>
        <w:t>Cadence BofA Global Technology Conference Transcript</w:t>
      </w:r>
      <w:r>
        <w:rPr>
          <w:rFonts w:ascii="Calibri" w:hAnsi="Calibri"/>
          <w:color w:val="525866"/>
          <w:sz w:val="22"/>
        </w:rPr>
        <w:t xml:space="preserve"> — CEO Anirudh Devgan commentary on demand environment, IP, China, design starts. June 3, 2026.</w:t>
      </w:r>
    </w:p>
    <w:p>
      <w:pPr>
        <w:pStyle w:val="ListBullet"/>
        <w:ind w:left="360" w:hanging="360"/>
      </w:pPr>
      <w:r>
        <w:rPr>
          <w:rFonts w:ascii="Calibri" w:hAnsi="Calibri"/>
          <w:b/>
          <w:color w:val="525866"/>
          <w:sz w:val="22"/>
        </w:rPr>
        <w:t>Cadence Nasdaq &amp; Jefferies Investor Conference Transcript</w:t>
      </w:r>
      <w:r>
        <w:rPr>
          <w:rFonts w:ascii="Calibri" w:hAnsi="Calibri"/>
          <w:color w:val="525866"/>
          <w:sz w:val="22"/>
        </w:rPr>
        <w:t xml:space="preserve"> — VP IR Richard Gu commentary on agentic AI monetization, IP, foundry ecosystem. June 9, 2026.</w:t>
      </w:r>
    </w:p>
    <w:p>
      <w:pPr>
        <w:pStyle w:val="ListBullet"/>
        <w:ind w:left="360" w:hanging="360"/>
      </w:pPr>
      <w:r>
        <w:rPr>
          <w:rFonts w:ascii="Calibri" w:hAnsi="Calibri"/>
          <w:b/>
          <w:color w:val="525866"/>
          <w:sz w:val="22"/>
        </w:rPr>
        <w:t>Synopsys Q2 FY2026 Earnings Call Transcript</w:t>
      </w:r>
      <w:r>
        <w:rPr>
          <w:rFonts w:ascii="Calibri" w:hAnsi="Calibri"/>
          <w:color w:val="525866"/>
          <w:sz w:val="22"/>
        </w:rPr>
        <w:t xml:space="preserve"> — Peer read-through on EDA demand, hardware, IP, China. May 27, 2026.</w:t>
      </w:r>
    </w:p>
    <w:p>
      <w:pPr>
        <w:pStyle w:val="ListBullet"/>
        <w:ind w:left="360" w:hanging="360"/>
      </w:pPr>
      <w:r>
        <w:rPr>
          <w:rFonts w:ascii="Calibri" w:hAnsi="Calibri"/>
          <w:b/>
          <w:color w:val="525866"/>
          <w:sz w:val="22"/>
        </w:rPr>
        <w:t>Synopsys Mizuho Technology Conference Transcript</w:t>
      </w:r>
      <w:r>
        <w:rPr>
          <w:rFonts w:ascii="Calibri" w:hAnsi="Calibri"/>
          <w:color w:val="525866"/>
          <w:sz w:val="22"/>
        </w:rPr>
        <w:t xml:space="preserve"> — Peer read-through on EDA growth, IP recovery, design starts. June 9, 2026.</w:t>
      </w:r>
    </w:p>
    <w:p>
      <w:pPr>
        <w:pStyle w:val="ListBullet"/>
        <w:ind w:left="360" w:hanging="360"/>
      </w:pPr>
      <w:r>
        <w:rPr>
          <w:rFonts w:ascii="Calibri" w:hAnsi="Calibri"/>
          <w:b/>
          <w:color w:val="525866"/>
          <w:sz w:val="22"/>
        </w:rPr>
        <w:t>Ambarella Q1 FY2027 Earnings Call Transcript</w:t>
      </w:r>
      <w:r>
        <w:rPr>
          <w:rFonts w:ascii="Calibri" w:hAnsi="Calibri"/>
          <w:color w:val="525866"/>
          <w:sz w:val="22"/>
        </w:rPr>
        <w:t xml:space="preserve"> — Peer read-through on edge AI design activity, advanced node demand. May 28, 2026.</w:t>
      </w:r>
    </w:p>
    <w:p>
      <w:pPr>
        <w:pStyle w:val="ListBullet"/>
        <w:ind w:left="360" w:hanging="360"/>
      </w:pPr>
      <w:r>
        <w:rPr>
          <w:rFonts w:ascii="Calibri" w:hAnsi="Calibri"/>
          <w:b/>
          <w:color w:val="525866"/>
          <w:sz w:val="22"/>
        </w:rPr>
        <w:t>Ambarella BofA Global Technology Conference Transcript</w:t>
      </w:r>
      <w:r>
        <w:rPr>
          <w:rFonts w:ascii="Calibri" w:hAnsi="Calibri"/>
          <w:color w:val="525866"/>
          <w:sz w:val="22"/>
        </w:rPr>
        <w:t xml:space="preserve"> — Peer read-through on 2nm design activity, foundry supply. June 2, 2026.</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All insider transactions. Source: https://www.sec.gov/</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CDNS, SOXX, SPY daily closing prices April 27 – July 24, 2026.</w:t>
      </w:r>
    </w:p>
    <w:p>
      <w:pPr>
        <w:pStyle w:val="ListBullet"/>
        <w:ind w:left="360" w:hanging="360"/>
      </w:pPr>
      <w:r>
        <w:rPr>
          <w:rFonts w:ascii="Calibri" w:hAnsi="Calibri"/>
          <w:b/>
          <w:color w:val="525866"/>
          <w:sz w:val="22"/>
        </w:rPr>
        <w:t>Implied Platform — Stock Performance Decomposition</w:t>
      </w:r>
      <w:r>
        <w:rPr>
          <w:rFonts w:ascii="Calibri" w:hAnsi="Calibri"/>
          <w:color w:val="525866"/>
          <w:sz w:val="22"/>
        </w:rPr>
        <w:t xml:space="preserve"> — NTM EV/EBITDA multiple decomposition across 1M, 3M, 6M, 12M horizons. Snapshot July 24,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