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htr-earnings-predictions--2026-07-24"/>
    <w:p>
      <w:pPr>
        <w:pStyle w:val="Heading1"/>
      </w:pPr>
      <w:r>
        <w:t xml:space="preserve">CHTR Earnings Predictions — 2026-07-24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CHTR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Residential broadband net adds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~-160K vs. cons -142K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CHTR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Mobile line net adadadds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~378K vs. cons 380K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CHTR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~$5.60B vs. cons $5.58B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CHTR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Cox close timing (California PUC)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~Q3'26 close vs. cons summer'26 target (2026 close)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CHTR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Cox run-rate opex synergies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~$800M+ vs. prior $500M (post-close run-rate)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CHTR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2026 capex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~$11.4B vs. cons $11.4B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CHTR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EBITDA ex-transition (political ad tailwind)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~+1% growth vs. cons ~+0.5%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CHTR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CHTR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-1.5% (FADE)</w:t>
            </w:r>
          </w:p>
        </w:tc>
        <w:tc>
          <w:tcPr/>
          <w:p>
            <w:pPr>
              <w:pStyle w:val="Compact"/>
            </w:pPr>
            <w:r>
              <w:t xml:space="preserve">Washed-out sentiment (stock -40% YTD, bar very low) plus a likely Cox close confirmation supports a modest day-1 relief bounce even on a soft broadband number. But out-period math works against it: a broadband miss (~-160K vs -142K) reinforces the secular top-of-funnel narrative, driving analysts to trim out-year sub/EBITDA/FCF estimates, while Cox dilution (~46M shares) and pro-forma leverage (3.5-3.75x) overhang the model. The initial pop fades back toward/below flat as revisions drift lower.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2026-07-24T00:04:42Z</dcterms:created>
  <dcterms:modified xsi:type="dcterms:W3CDTF">2026-07-24T00:04:42Z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