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FirstParagraph"/>
      </w:pPr>
      <w:r>
        <w:t xml:space="preserve">I'll research CHTR before writing the preview. Let me gather recent earnings materials, filings, and news.Let me read the most recent quarter's materials and get comparison data.Let me get the prior-year Q2 base for comparison, recent stock price, and Cox deal news.Let me check the latest on the Cox deal close status.# Charter Communications (CHTR) — Q2 2026 Earnings Preview</w:t>
      </w:r>
    </w:p>
    <w:bookmarkStart w:id="9" w:name="X9b335172ea2886bb6ac67f7d03c9ab233cfe017"/>
    <w:p>
      <w:pPr>
        <w:pStyle w:val="Heading3"/>
      </w:pPr>
      <w:r>
        <w:t xml:space="preserve">Reports Friday, July 24, 2026 (before market open); call at 8:30 a.m. ET</w:t>
      </w:r>
    </w:p>
    <w:p>
      <w:r>
        <w:pict>
          <v:rect style="width:0;height:1.5pt" o:hralign="center" o:hrstd="t" o:hr="t"/>
        </w:pict>
      </w:r>
    </w:p>
    <w:bookmarkEnd w:id="9"/>
    <w:bookmarkStart w:id="10" w:name="the-one-line-setup"/>
    <w:p>
      <w:pPr>
        <w:pStyle w:val="Heading2"/>
      </w:pPr>
      <w:r>
        <w:t xml:space="preserve">The One-Line Setup</w:t>
      </w:r>
    </w:p>
    <w:p>
      <w:pPr>
        <w:pStyle w:val="FirstParagraph"/>
      </w:pPr>
      <w:r>
        <w:t xml:space="preserve">This is likely Charter's</w:t>
      </w:r>
      <w:r>
        <w:t xml:space="preserve"> </w:t>
      </w:r>
      <w:r>
        <w:rPr>
          <w:b/>
          <w:bCs/>
        </w:rPr>
        <w:t xml:space="preserve">last "clean" standalone quarter</w:t>
      </w:r>
      <w:r>
        <w:t xml:space="preserve"> </w:t>
      </w:r>
      <w:r>
        <w:t xml:space="preserve">before the Cox Communications close, and it arrives with the stock in free-fall. The print itself matters less than three things: (1) any update on the</w:t>
      </w:r>
      <w:r>
        <w:t xml:space="preserve"> </w:t>
      </w:r>
      <w:r>
        <w:rPr>
          <w:b/>
          <w:bCs/>
        </w:rPr>
        <w:t xml:space="preserve">Cox close timing</w:t>
      </w:r>
      <w:r>
        <w:t xml:space="preserve"> </w:t>
      </w:r>
      <w:r>
        <w:t xml:space="preserve">(stuck on the California PUC), (2) whether</w:t>
      </w:r>
      <w:r>
        <w:t xml:space="preserve"> </w:t>
      </w:r>
      <w:r>
        <w:rPr>
          <w:b/>
          <w:bCs/>
        </w:rPr>
        <w:t xml:space="preserve">broadband subscriber losses</w:t>
      </w:r>
      <w:r>
        <w:t xml:space="preserve"> </w:t>
      </w:r>
      <w:r>
        <w:t xml:space="preserve">are stabilizing or accelerating, and (3) management's tone on the</w:t>
      </w:r>
      <w:r>
        <w:t xml:space="preserve"> </w:t>
      </w:r>
      <w:r>
        <w:rPr>
          <w:b/>
          <w:bCs/>
        </w:rPr>
        <w:t xml:space="preserve">free-cash-flow inflection</w:t>
      </w:r>
      <w:r>
        <w:t xml:space="preserve"> </w:t>
      </w:r>
      <w:r>
        <w:t xml:space="preserve">that underpins the entire bull case.</w:t>
      </w:r>
    </w:p>
    <w:p>
      <w:r>
        <w:pict>
          <v:rect style="width:0;height:1.5pt" o:hralign="center" o:hrstd="t" o:hr="t"/>
        </w:pict>
      </w:r>
    </w:p>
    <w:bookmarkEnd w:id="10"/>
    <w:bookmarkStart w:id="11" w:name="stock-context--sentiment-is-broken"/>
    <w:p>
      <w:pPr>
        <w:pStyle w:val="Heading2"/>
      </w:pPr>
      <w:r>
        <w:t xml:space="preserve">Stock Context — Sentiment Is Broken</w:t>
      </w:r>
    </w:p>
    <w:p>
      <w:pPr>
        <w:pStyle w:val="Compact"/>
        <w:numPr>
          <w:ilvl w:val="0"/>
          <w:numId w:val="1001"/>
        </w:numPr>
      </w:pPr>
      <w:r>
        <w:t xml:space="preserve">CHTR closed at **</w:t>
      </w:r>
      <m:oMath>
        <m:r>
          <m:t>126.53</m:t>
        </m:r>
        <m:r>
          <m:t>o</m:t>
        </m:r>
        <m:r>
          <m:t>n</m:t>
        </m:r>
        <m:r>
          <m:t>7</m:t>
        </m:r>
        <m:r>
          <m:rPr>
            <m:sty m:val="p"/>
          </m:rPr>
          <m:t>/</m:t>
        </m:r>
        <m:r>
          <m:t>23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,</m:t>
        </m:r>
        <m:r>
          <m:t>d</m:t>
        </m:r>
        <m:r>
          <m:t>o</m:t>
        </m:r>
        <m:r>
          <m:t>w</m:t>
        </m:r>
        <m:r>
          <m:t>n</m:t>
        </m:r>
        <m:r>
          <m:t>r</m:t>
        </m:r>
        <m:r>
          <m:t>o</m:t>
        </m:r>
        <m:r>
          <m:t>u</m:t>
        </m:r>
        <m:r>
          <m:t>g</m:t>
        </m:r>
        <m:r>
          <m:t>h</m:t>
        </m:r>
        <m:r>
          <m:t>l</m:t>
        </m:r>
        <m:r>
          <m:t>y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t>40</m:t>
        </m:r>
      </m:oMath>
      <w:r>
        <w:t xml:space="preserve">209 to start 2026) and</w:t>
      </w:r>
      <w:r>
        <w:t xml:space="preserve"> </w:t>
      </w:r>
      <w:r>
        <w:rPr>
          <w:b/>
          <w:bCs/>
        </w:rPr>
        <w:t xml:space="preserve">~84% below</w:t>
      </w:r>
      <w:r>
        <w:t xml:space="preserve"> </w:t>
      </w:r>
      <w:r>
        <w:t xml:space="preserve">its September 2021 peak of ~$821.</w:t>
      </w:r>
    </w:p>
    <w:p>
      <w:pPr>
        <w:pStyle w:val="Compact"/>
        <w:numPr>
          <w:ilvl w:val="0"/>
          <w:numId w:val="1001"/>
        </w:numPr>
      </w:pPr>
      <w:r>
        <w:t xml:space="preserve">The Q1 report (April 24) was the trigger: shares fell from</w:t>
      </w:r>
      <w:r>
        <w:t xml:space="preserve"> </w:t>
      </w:r>
      <w:r>
        <w:rPr>
          <w:b/>
          <w:bCs/>
        </w:rPr>
        <w:t xml:space="preserve">~</w:t>
      </w:r>
      <m:oMath>
        <m:r>
          <m:t>242</m:t>
        </m:r>
        <m:r>
          <m:t>t</m:t>
        </m:r>
        <m:r>
          <m:t>o</m:t>
        </m:r>
        <m:r>
          <m:t> </m:t>
        </m:r>
      </m:oMath>
      <w:r>
        <w:rPr>
          <w:b/>
          <w:bCs/>
        </w:rPr>
        <w:t xml:space="preserve">180 in a single session (~-26%)</w:t>
      </w:r>
      <w:r>
        <w:t xml:space="preserve"> </w:t>
      </w:r>
      <w:r>
        <w:t xml:space="preserve">and have since ground down another ~30% to the low $120s.</w:t>
      </w:r>
    </w:p>
    <w:p>
      <w:pPr>
        <w:pStyle w:val="Compact"/>
        <w:numPr>
          <w:ilvl w:val="0"/>
          <w:numId w:val="1001"/>
        </w:numPr>
      </w:pPr>
      <w:r>
        <w:t xml:space="preserve">The bear thesis is now firmly about</w:t>
      </w:r>
      <w:r>
        <w:t xml:space="preserve"> </w:t>
      </w:r>
      <w:r>
        <w:rPr>
          <w:b/>
          <w:bCs/>
        </w:rPr>
        <w:t xml:space="preserve">secular competition</w:t>
      </w:r>
      <w:r>
        <w:t xml:space="preserve"> </w:t>
      </w:r>
      <w:r>
        <w:t xml:space="preserve">— investors fear Starlink/LEO satellite plus fixed-wireless and fiber overbuilders will structurally erode broadband. Benchmark's Matthew Harrigan is a notable contrarian, reiterating a</w:t>
      </w:r>
      <w:r>
        <w:t xml:space="preserve"> </w:t>
      </w:r>
      <w:r>
        <w:rPr>
          <w:b/>
          <w:bCs/>
        </w:rPr>
        <w:t xml:space="preserve">Buy with a $380 target</w:t>
      </w:r>
      <w:r>
        <w:t xml:space="preserve"> </w:t>
      </w:r>
      <w:r>
        <w:t xml:space="preserve">(~197% upside), arguing the market is over-pricing a "winner-take-all" Starlink outcome.</w:t>
      </w:r>
    </w:p>
    <w:p>
      <w:pPr>
        <w:pStyle w:val="Compact"/>
        <w:numPr>
          <w:ilvl w:val="0"/>
          <w:numId w:val="1001"/>
        </w:numPr>
      </w:pPr>
      <w:r>
        <w:rPr>
          <w:b/>
          <w:bCs/>
        </w:rPr>
        <w:t xml:space="preserve">Takeaway:</w:t>
      </w:r>
      <w:r>
        <w:t xml:space="preserve"> </w:t>
      </w:r>
      <w:r>
        <w:t xml:space="preserve">Expectations are extremely low. The bar to surprise positively is correspondingly low — but any sign of accelerating broadband losses or FCF/EBITDA weakness could still be punished given the stock's momentum.</w:t>
      </w:r>
    </w:p>
    <w:p>
      <w:r>
        <w:pict>
          <v:rect style="width:0;height:1.5pt" o:hralign="center" o:hrstd="t" o:hr="t"/>
        </w:pict>
      </w:r>
    </w:p>
    <w:bookmarkEnd w:id="11"/>
    <w:bookmarkStart w:id="12" w:name="Xa9c8550904035e94276ad5b333a2f3c309c0c5f"/>
    <w:p>
      <w:pPr>
        <w:pStyle w:val="Heading2"/>
      </w:pPr>
      <w:r>
        <w:t xml:space="preserve">What the Street Is Modeling (Q2 2026 consensus)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Metric</w:t>
            </w:r>
          </w:p>
        </w:tc>
        <w:tc>
          <w:tcPr/>
          <w:p>
            <w:pPr>
              <w:pStyle w:val="Compact"/>
            </w:pPr>
            <w:r>
              <w:t xml:space="preserve">Q2'26 Consensus</w:t>
            </w:r>
          </w:p>
        </w:tc>
        <w:tc>
          <w:tcPr/>
          <w:p>
            <w:pPr>
              <w:pStyle w:val="Compact"/>
            </w:pPr>
            <w:r>
              <w:t xml:space="preserve">Q2'25 Actual</w:t>
            </w:r>
          </w:p>
        </w:tc>
        <w:tc>
          <w:tcPr/>
          <w:p>
            <w:pPr>
              <w:pStyle w:val="Compact"/>
            </w:pPr>
            <w:r>
              <w:t xml:space="preserve">Q1'26 Actual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Residential broadband net adds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–142K</w:t>
            </w:r>
          </w:p>
        </w:tc>
        <w:tc>
          <w:tcPr/>
          <w:p>
            <w:pPr>
              <w:pStyle w:val="Compact"/>
            </w:pPr>
            <w:r>
              <w:t xml:space="preserve">–111K (res) / –117K total</w:t>
            </w:r>
          </w:p>
        </w:tc>
        <w:tc>
          <w:tcPr/>
          <w:p>
            <w:pPr>
              <w:pStyle w:val="Compact"/>
            </w:pPr>
            <w:r>
              <w:t xml:space="preserve">–117K (res) / –120K total</w:t>
            </w:r>
          </w:p>
        </w:tc>
      </w:tr>
      <w:tr>
        <w:tc>
          <w:tcPr/>
          <w:p>
            <w:pPr>
              <w:pStyle w:val="Compact"/>
            </w:pPr>
            <w:r>
              <w:t xml:space="preserve">Mobile line net adds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+380K</w:t>
            </w:r>
          </w:p>
        </w:tc>
        <w:tc>
          <w:tcPr/>
          <w:p>
            <w:pPr>
              <w:pStyle w:val="Compact"/>
            </w:pPr>
            <w:r>
              <w:t xml:space="preserve">+500K</w:t>
            </w:r>
          </w:p>
        </w:tc>
        <w:tc>
          <w:tcPr/>
          <w:p>
            <w:pPr>
              <w:pStyle w:val="Compact"/>
            </w:pPr>
            <w:r>
              <w:t xml:space="preserve">+368K</w:t>
            </w:r>
          </w:p>
        </w:tc>
      </w:tr>
      <w:tr>
        <w:tc>
          <w:tcPr/>
          <w:p>
            <w:pPr>
              <w:pStyle w:val="Compact"/>
            </w:pPr>
            <w:r>
              <w:t xml:space="preserve">Video net adds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–54K</w:t>
            </w:r>
          </w:p>
        </w:tc>
        <w:tc>
          <w:tcPr/>
          <w:p>
            <w:pPr>
              <w:pStyle w:val="Compact"/>
            </w:pPr>
            <w:r>
              <w:t xml:space="preserve">–80K</w:t>
            </w:r>
          </w:p>
        </w:tc>
        <w:tc>
          <w:tcPr/>
          <w:p>
            <w:pPr>
              <w:pStyle w:val="Compact"/>
            </w:pPr>
            <w:r>
              <w:t xml:space="preserve">–60K</w:t>
            </w:r>
          </w:p>
        </w:tc>
      </w:tr>
      <w:tr>
        <w:tc>
          <w:tcPr/>
          <w:p>
            <w:pPr>
              <w:pStyle w:val="Compact"/>
            </w:pPr>
            <w:r>
              <w:t xml:space="preserve">Total revenue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~$13.5B (–1.75% y/y)</w:t>
            </w:r>
          </w:p>
        </w:tc>
        <w:tc>
          <w:tcPr/>
          <w:p>
            <w:pPr>
              <w:pStyle w:val="Compact"/>
            </w:pPr>
            <w:r>
              <w:t xml:space="preserve">$13.77B (+0.6%)</w:t>
            </w:r>
          </w:p>
        </w:tc>
        <w:tc>
          <w:tcPr/>
          <w:p>
            <w:pPr>
              <w:pStyle w:val="Compact"/>
            </w:pPr>
            <w:r>
              <w:t xml:space="preserve">$13.60B (–1.0%)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Adjusted EBITDA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~$5.58B</w:t>
            </w:r>
          </w:p>
        </w:tc>
        <w:tc>
          <w:tcPr/>
          <w:p>
            <w:pPr>
              <w:pStyle w:val="Compact"/>
            </w:pPr>
            <w:r>
              <w:t xml:space="preserve">$5.69B (+0.5%)</w:t>
            </w:r>
          </w:p>
        </w:tc>
        <w:tc>
          <w:tcPr/>
          <w:p>
            <w:pPr>
              <w:pStyle w:val="Compact"/>
            </w:pPr>
            <w:r>
              <w:t xml:space="preserve">$5.64B (–2.2%)</w:t>
            </w:r>
          </w:p>
        </w:tc>
      </w:tr>
      <w:tr>
        <w:tc>
          <w:tcPr/>
          <w:p>
            <w:pPr>
              <w:pStyle w:val="Compact"/>
            </w:pPr>
            <w:r>
              <w:t xml:space="preserve">Free cash flow</w:t>
            </w:r>
          </w:p>
        </w:tc>
        <w:tc>
          <w:tcPr/>
          <w:p>
            <w:pPr>
              <w:pStyle w:val="Compact"/>
            </w:pPr>
            <w:r>
              <w:rPr>
                <w:b/>
                <w:bCs/>
              </w:rPr>
              <w:t xml:space="preserve">~$1.13B</w:t>
            </w:r>
          </w:p>
        </w:tc>
        <w:tc>
          <w:tcPr/>
          <w:p>
            <w:pPr>
              <w:pStyle w:val="Compact"/>
            </w:pPr>
            <w:r>
              <w:t xml:space="preserve">$1.05B</w:t>
            </w:r>
          </w:p>
        </w:tc>
        <w:tc>
          <w:tcPr/>
          <w:p>
            <w:pPr>
              <w:pStyle w:val="Compact"/>
            </w:pPr>
            <w:r>
              <w:t xml:space="preserve">$1.37B</w:t>
            </w:r>
          </w:p>
        </w:tc>
      </w:tr>
    </w:tbl>
    <w:p>
      <w:pPr>
        <w:pStyle w:val="BodyText"/>
      </w:pPr>
      <w:r>
        <w:rPr>
          <w:b/>
          <w:bCs/>
        </w:rPr>
        <w:t xml:space="preserve">Reading it:</w:t>
      </w:r>
      <w:r>
        <w:t xml:space="preserve"> </w:t>
      </w:r>
      <w:r>
        <w:t xml:space="preserve">Consensus implies broadband losses</w:t>
      </w:r>
      <w:r>
        <w:t xml:space="preserve"> </w:t>
      </w:r>
      <w:r>
        <w:rPr>
          <w:b/>
          <w:bCs/>
        </w:rPr>
        <w:t xml:space="preserve">worsening year-over-year</w:t>
      </w:r>
      <w:r>
        <w:t xml:space="preserve"> </w:t>
      </w:r>
      <w:r>
        <w:t xml:space="preserve">(–142K vs. –117K), mobile decelerating but roughly stable sequentially, and video continuing to improve. Revenue and EBITDA are expected to decline y/y — note EBITDA now carries</w:t>
      </w:r>
      <w:r>
        <w:t xml:space="preserve"> </w:t>
      </w:r>
      <w:r>
        <w:rPr>
          <w:b/>
          <w:bCs/>
        </w:rPr>
        <w:t xml:space="preserve">Cox transition expenses</w:t>
      </w:r>
      <w:r>
        <w:t xml:space="preserve"> </w:t>
      </w:r>
      <w:r>
        <w:t xml:space="preserve">($24M in Q1), so watch the "ex-transition" figure, which management still guides to grow slightly for the full year on a political-advertising tailwind.</w:t>
      </w:r>
    </w:p>
    <w:p>
      <w:r>
        <w:pict>
          <v:rect style="width:0;height:1.5pt" o:hralign="center" o:hrstd="t" o:hr="t"/>
        </w:pict>
      </w:r>
    </w:p>
    <w:bookmarkEnd w:id="12"/>
    <w:bookmarkStart w:id="13" w:name="X1be9128468bc39d364ff6b482dc3303f5df280e"/>
    <w:p>
      <w:pPr>
        <w:pStyle w:val="Heading2"/>
      </w:pPr>
      <w:r>
        <w:t xml:space="preserve">Key Debate #1: The Cox Close (the dominant catalyst)</w:t>
      </w:r>
    </w:p>
    <w:p>
      <w:pPr>
        <w:pStyle w:val="FirstParagraph"/>
      </w:pPr>
      <w:r>
        <w:t xml:space="preserve">On the Q1 call, management said they had received</w:t>
      </w:r>
      <w:r>
        <w:t xml:space="preserve"> </w:t>
      </w:r>
      <w:r>
        <w:rPr>
          <w:b/>
          <w:bCs/>
        </w:rPr>
        <w:t xml:space="preserve">all federal and state approvals except California</w:t>
      </w:r>
      <w:r>
        <w:t xml:space="preserve">, and were working toward a</w:t>
      </w:r>
      <w:r>
        <w:t xml:space="preserve"> </w:t>
      </w:r>
      <w:r>
        <w:rPr>
          <w:b/>
          <w:bCs/>
        </w:rPr>
        <w:t xml:space="preserve">"summer close"</w:t>
      </w:r>
      <w:r>
        <w:t xml:space="preserve"> </w:t>
      </w:r>
      <w:r>
        <w:t xml:space="preserve">with the California PUC. With the report landing July 24, expect this to be the first analyst question.</w:t>
      </w:r>
    </w:p>
    <w:p>
      <w:pPr>
        <w:pStyle w:val="BodyText"/>
      </w:pPr>
      <w:r>
        <w:t xml:space="preserve">Why it matters: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Scale transformation:</w:t>
      </w:r>
      <w:r>
        <w:t xml:space="preserve"> </w:t>
      </w:r>
      <w:r>
        <w:t xml:space="preserve">Charter goes from ~59M passings to</w:t>
      </w:r>
      <w:r>
        <w:t xml:space="preserve"> </w:t>
      </w:r>
      <w:r>
        <w:rPr>
          <w:b/>
          <w:bCs/>
        </w:rPr>
        <w:t xml:space="preserve">over 70M pro forma passings</w:t>
      </w:r>
      <w:r>
        <w:t xml:space="preserve"> </w:t>
      </w:r>
      <w:r>
        <w:t xml:space="preserve">(~32M customers today).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Synergies raised to "at least $800M"</w:t>
      </w:r>
      <w:r>
        <w:t xml:space="preserve"> </w:t>
      </w:r>
      <w:r>
        <w:t xml:space="preserve">(from $500M) of run-rate opex synergies — and management signaled more upside,</w:t>
      </w:r>
      <w:r>
        <w:t xml:space="preserve"> </w:t>
      </w:r>
      <w:r>
        <w:rPr>
          <w:i/>
          <w:iCs/>
        </w:rPr>
        <w:t xml:space="preserve">before</w:t>
      </w:r>
      <w:r>
        <w:t xml:space="preserve"> </w:t>
      </w:r>
      <w:r>
        <w:t xml:space="preserve">counting revenue synergies or CapEx savings.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The Cox thesis:</w:t>
      </w:r>
      <w:r>
        <w:t xml:space="preserve"> </w:t>
      </w:r>
      <w:r>
        <w:t xml:space="preserve">Cox has higher broadband ARPU but very low mobile/video penetration. Charter plans to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Cox broadband pricing while attaching mobile/video to preserve</w:t>
      </w:r>
      <w:r>
        <w:t xml:space="preserve"> </w:t>
      </w:r>
      <w:r>
        <w:rPr>
          <w:b/>
          <w:bCs/>
        </w:rPr>
        <w:t xml:space="preserve">household ARPU and margin</w:t>
      </w:r>
      <w:r>
        <w:t xml:space="preserve"> </w:t>
      </w:r>
      <w:r>
        <w:t xml:space="preserve">— a playbook it ran on Time Warner Cable and Bright House. Notably, Cox's EBITDA margin is already similar to Charter's despite a broadband-heavy mix, giving room to re-shape the cost base.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Reporting change:</w:t>
      </w:r>
      <w:r>
        <w:t xml:space="preserve"> </w:t>
      </w:r>
      <w:r>
        <w:t xml:space="preserve">Post-close, Charter will report</w:t>
      </w:r>
      <w:r>
        <w:t xml:space="preserve"> </w:t>
      </w:r>
      <w:r>
        <w:rPr>
          <w:b/>
          <w:bCs/>
        </w:rPr>
        <w:t xml:space="preserve">legacy Charter and legacy Cox separately</w:t>
      </w:r>
      <w:r>
        <w:t xml:space="preserve"> </w:t>
      </w:r>
      <w:r>
        <w:t xml:space="preserve">for several quarters plus consolidated; the first quarter will mix a full Charter quarter with a Cox stub, so</w:t>
      </w:r>
      <w:r>
        <w:t xml:space="preserve"> </w:t>
      </w:r>
      <w:r>
        <w:rPr>
          <w:b/>
          <w:bCs/>
        </w:rPr>
        <w:t xml:space="preserve">y/y comparisons will be messy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rPr>
          <w:b/>
          <w:bCs/>
        </w:rPr>
        <w:t xml:space="preserve">Share count / dilution:</w:t>
      </w:r>
      <w:r>
        <w:t xml:space="preserve"> </w:t>
      </w:r>
      <w:r>
        <w:t xml:space="preserve">At close, Charter issues the equivalent of</w:t>
      </w:r>
      <w:r>
        <w:t xml:space="preserve"> </w:t>
      </w:r>
      <w:r>
        <w:rPr>
          <w:b/>
          <w:bCs/>
        </w:rPr>
        <w:t xml:space="preserve">~46M shares to Cox Enterprises</w:t>
      </w:r>
      <w:r>
        <w:t xml:space="preserve">, partly offset by</w:t>
      </w:r>
      <w:r>
        <w:t xml:space="preserve"> </w:t>
      </w:r>
      <w:r>
        <w:rPr>
          <w:b/>
          <w:bCs/>
        </w:rPr>
        <w:t xml:space="preserve">~6.8M net share reduction</w:t>
      </w:r>
      <w:r>
        <w:t xml:space="preserve"> </w:t>
      </w:r>
      <w:r>
        <w:t xml:space="preserve">from the Liberty Broadband transaction (pro forma standalone count ~179M as of 3/31). Watch for updated figures.</w:t>
      </w:r>
    </w:p>
    <w:p>
      <w:pPr>
        <w:pStyle w:val="FirstParagraph"/>
      </w:pPr>
      <w:r>
        <w:rPr>
          <w:b/>
          <w:bCs/>
        </w:rPr>
        <w:t xml:space="preserve">What to listen for:</w:t>
      </w:r>
      <w:r>
        <w:t xml:space="preserve"> </w:t>
      </w:r>
      <w:r>
        <w:t xml:space="preserve">Confirmation the California approval is in hand / an actual close date, updated synergy estimates, and any early framing of pro-forma leverage (targeting the</w:t>
      </w:r>
      <w:r>
        <w:t xml:space="preserve"> </w:t>
      </w:r>
      <w:r>
        <w:rPr>
          <w:b/>
          <w:bCs/>
        </w:rPr>
        <w:t xml:space="preserve">low end of 3.5–3.75x</w:t>
      </w:r>
      <w:r>
        <w:t xml:space="preserve"> </w:t>
      </w:r>
      <w:r>
        <w:t xml:space="preserve">within 3 years post-close).</w:t>
      </w:r>
    </w:p>
    <w:p>
      <w:r>
        <w:pict>
          <v:rect style="width:0;height:1.5pt" o:hralign="center" o:hrstd="t" o:hr="t"/>
        </w:pict>
      </w:r>
    </w:p>
    <w:bookmarkEnd w:id="13"/>
    <w:bookmarkStart w:id="14" w:name="X1f6d255300cbb4123d903cd6582225de321a825"/>
    <w:p>
      <w:pPr>
        <w:pStyle w:val="Heading2"/>
      </w:pPr>
      <w:r>
        <w:t xml:space="preserve">Key Debate #2: Broadband — Top-of-Funnel Problem, Not Churn</w:t>
      </w:r>
    </w:p>
    <w:p>
      <w:pPr>
        <w:pStyle w:val="FirstParagraph"/>
      </w:pPr>
      <w:r>
        <w:t xml:space="preserve">Management's framing is important and likely to be repeated: Charter says its issue is a</w:t>
      </w:r>
      <w:r>
        <w:t xml:space="preserve"> </w:t>
      </w:r>
      <w:r>
        <w:rPr>
          <w:b/>
          <w:bCs/>
        </w:rPr>
        <w:t xml:space="preserve">"top of the funnel"</w:t>
      </w:r>
      <w:r>
        <w:t xml:space="preserve"> </w:t>
      </w:r>
      <w:r>
        <w:t xml:space="preserve">problem —</w:t>
      </w:r>
      <w:r>
        <w:t xml:space="preserve"> </w:t>
      </w:r>
      <w:r>
        <w:rPr>
          <w:b/>
          <w:bCs/>
        </w:rPr>
        <w:t xml:space="preserve">churn is at historic lows</w:t>
      </w:r>
      <w:r>
        <w:t xml:space="preserve"> </w:t>
      </w:r>
      <w:r>
        <w:t xml:space="preserve">and point-of-sale</w:t>
      </w:r>
      <w:r>
        <w:t xml:space="preserve"> </w:t>
      </w:r>
      <w:r>
        <w:rPr>
          <w:b/>
          <w:bCs/>
        </w:rPr>
        <w:t xml:space="preserve">yield is strong</w:t>
      </w:r>
      <w:r>
        <w:t xml:space="preserve"> </w:t>
      </w:r>
      <w:r>
        <w:t xml:space="preserve">— but</w:t>
      </w:r>
      <w:r>
        <w:t xml:space="preserve"> </w:t>
      </w:r>
      <w:r>
        <w:rPr>
          <w:i/>
          <w:iCs/>
        </w:rPr>
        <w:t xml:space="preserve">gross adds</w:t>
      </w:r>
      <w:r>
        <w:t xml:space="preserve"> </w:t>
      </w:r>
      <w:r>
        <w:t xml:space="preserve">are pressured by external forces: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Fixed wireless:</w:t>
      </w:r>
      <w:r>
        <w:t xml:space="preserve"> </w:t>
      </w:r>
      <w:r>
        <w:t xml:space="preserve">AT&amp;T has stepped up FWA even as others slow.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Fiber overbuild:</w:t>
      </w:r>
      <w:r>
        <w:t xml:space="preserve"> </w:t>
      </w:r>
      <w:r>
        <w:t xml:space="preserve">growing at a steady (not accelerating) pace; Charter says it still holds</w:t>
      </w:r>
      <w:r>
        <w:t xml:space="preserve"> </w:t>
      </w:r>
      <w:r>
        <w:rPr>
          <w:b/>
          <w:bCs/>
        </w:rPr>
        <w:t xml:space="preserve">higher share than competitors even in mature fiber markets</w:t>
      </w:r>
      <w:r>
        <w:t xml:space="preserve">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Satellite/LEO (Starlink, Amazon):</w:t>
      </w:r>
      <w:r>
        <w:t xml:space="preserve"> </w:t>
      </w:r>
      <w:r>
        <w:t xml:space="preserve">management claims</w:t>
      </w:r>
      <w:r>
        <w:t xml:space="preserve"> </w:t>
      </w:r>
      <w:r>
        <w:rPr>
          <w:b/>
          <w:bCs/>
        </w:rPr>
        <w:t xml:space="preserve">no meaningful measurable share loss yet</w:t>
      </w:r>
      <w:r>
        <w:t xml:space="preserve">, mostly a factor in low-density rural pockets.</w:t>
      </w:r>
    </w:p>
    <w:p>
      <w:pPr>
        <w:pStyle w:val="Compact"/>
        <w:numPr>
          <w:ilvl w:val="0"/>
          <w:numId w:val="1003"/>
        </w:numPr>
      </w:pPr>
      <w:r>
        <w:rPr>
          <w:b/>
          <w:bCs/>
        </w:rPr>
        <w:t xml:space="preserve">Macro:</w:t>
      </w:r>
      <w:r>
        <w:t xml:space="preserve"> </w:t>
      </w:r>
      <w:r>
        <w:t xml:space="preserve">muted housing, low move rates, and (slowing) mobile substitution.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(1) Whether the ~142K expected loss comes in better or worse; (2) any commentary on the</w:t>
      </w:r>
      <w:r>
        <w:t xml:space="preserve"> </w:t>
      </w:r>
      <w:r>
        <w:rPr>
          <w:b/>
          <w:bCs/>
        </w:rPr>
        <w:t xml:space="preserve">low-income segment</w:t>
      </w:r>
      <w:r>
        <w:t xml:space="preserve"> </w:t>
      </w:r>
      <w:r>
        <w:t xml:space="preserve">(management flagged offer availability gaps there in Q1); (3) whether new tools — the</w:t>
      </w:r>
      <w:r>
        <w:t xml:space="preserve"> </w:t>
      </w:r>
      <w:r>
        <w:rPr>
          <w:b/>
          <w:bCs/>
        </w:rPr>
        <w:t xml:space="preserve">$1,000 savings guarantee</w:t>
      </w:r>
      <w:r>
        <w:t xml:space="preserve">, new digital buy flow,</w:t>
      </w:r>
      <w:r>
        <w:t xml:space="preserve"> </w:t>
      </w:r>
      <w:r>
        <w:rPr>
          <w:b/>
          <w:bCs/>
        </w:rPr>
        <w:t xml:space="preserve">Invincible WiFi</w:t>
      </w:r>
      <w:r>
        <w:t xml:space="preserve"> </w:t>
      </w:r>
      <w:r>
        <w:t xml:space="preserve">— are lifting gross adds. A return toward stabilization would be the biggest positive surprise available.</w:t>
      </w:r>
    </w:p>
    <w:p>
      <w:r>
        <w:pict>
          <v:rect style="width:0;height:1.5pt" o:hralign="center" o:hrstd="t" o:hr="t"/>
        </w:pict>
      </w:r>
    </w:p>
    <w:bookmarkEnd w:id="14"/>
    <w:bookmarkStart w:id="15" w:name="X93d4f74640bf21444b64cc07fc5d80670eb406e"/>
    <w:p>
      <w:pPr>
        <w:pStyle w:val="Heading2"/>
      </w:pPr>
      <w:r>
        <w:t xml:space="preserve">Key Debate #3: Mobile — Still the Growth Engine, but Decelerating</w:t>
      </w:r>
    </w:p>
    <w:p>
      <w:pPr>
        <w:pStyle w:val="Compact"/>
        <w:numPr>
          <w:ilvl w:val="0"/>
          <w:numId w:val="1004"/>
        </w:numPr>
      </w:pPr>
      <w:r>
        <w:t xml:space="preserve">Charter ended Q1 with</w:t>
      </w:r>
      <w:r>
        <w:t xml:space="preserve"> </w:t>
      </w:r>
      <w:r>
        <w:rPr>
          <w:b/>
          <w:bCs/>
        </w:rPr>
        <w:t xml:space="preserve">12.1M mobile lines</w:t>
      </w:r>
      <w:r>
        <w:t xml:space="preserve"> </w:t>
      </w:r>
      <w:r>
        <w:t xml:space="preserve">(+1.8M over the trailing 12 months, ~17% growth) — still the fastest-growing mobile provider in its footprint.</w:t>
      </w:r>
    </w:p>
    <w:p>
      <w:pPr>
        <w:pStyle w:val="Compact"/>
        <w:numPr>
          <w:ilvl w:val="0"/>
          <w:numId w:val="1004"/>
        </w:numPr>
      </w:pPr>
      <w:r>
        <w:t xml:space="preserve">But net adds have</w:t>
      </w:r>
      <w:r>
        <w:t xml:space="preserve"> </w:t>
      </w:r>
      <w:r>
        <w:rPr>
          <w:b/>
          <w:bCs/>
        </w:rPr>
        <w:t xml:space="preserve">stepped down</w:t>
      </w:r>
      <w:r>
        <w:t xml:space="preserve">: 500K (Q2'25) → 428K (Q4'25) → 368K (Q1'26), pressured by</w:t>
      </w:r>
      <w:r>
        <w:t xml:space="preserve"> </w:t>
      </w:r>
      <w:r>
        <w:rPr>
          <w:b/>
          <w:bCs/>
        </w:rPr>
        <w:t xml:space="preserve">aggressive device subsidies</w:t>
      </w:r>
      <w:r>
        <w:t xml:space="preserve"> </w:t>
      </w:r>
      <w:r>
        <w:t xml:space="preserve">from the three big telcos (e.g., iPhone launches).</w:t>
      </w:r>
    </w:p>
    <w:p>
      <w:pPr>
        <w:pStyle w:val="Compact"/>
        <w:numPr>
          <w:ilvl w:val="0"/>
          <w:numId w:val="1004"/>
        </w:numPr>
      </w:pPr>
      <w:r>
        <w:t xml:space="preserve">Consensus of</w:t>
      </w:r>
      <w:r>
        <w:t xml:space="preserve"> </w:t>
      </w:r>
      <w:r>
        <w:rPr>
          <w:b/>
          <w:bCs/>
        </w:rPr>
        <w:t xml:space="preserve">+380K</w:t>
      </w:r>
      <w:r>
        <w:t xml:space="preserve"> </w:t>
      </w:r>
      <w:r>
        <w:t xml:space="preserve">implies stabilization. Watch mobile service revenue (grew ~15–25% y/y recently) and whether telco subsidy intensity is easing.</w:t>
      </w:r>
    </w:p>
    <w:p>
      <w:r>
        <w:pict>
          <v:rect style="width:0;height:1.5pt" o:hralign="center" o:hrstd="t" o:hr="t"/>
        </w:pict>
      </w:r>
    </w:p>
    <w:bookmarkEnd w:id="15"/>
    <w:bookmarkStart w:id="16" w:name="X50ded42451b8eaa1a7b12f9bcb02f9358f54af2"/>
    <w:p>
      <w:pPr>
        <w:pStyle w:val="Heading2"/>
      </w:pPr>
      <w:r>
        <w:t xml:space="preserve">Key Debate #4: ARPU, EBITDA &amp; the Video Accounting Optics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Residential ARPU</w:t>
      </w:r>
      <w:r>
        <w:t xml:space="preserve"> </w:t>
      </w:r>
      <w:r>
        <w:t xml:space="preserve">was **</w:t>
      </w:r>
      <m:oMath>
        <m:r>
          <m:t>118.44</m:t>
        </m:r>
        <m:r>
          <m:t>i</m:t>
        </m:r>
        <m:r>
          <m:t>n</m:t>
        </m:r>
        <m:r>
          <m:t>Q</m:t>
        </m:r>
        <m:r>
          <m:t>1</m:t>
        </m:r>
        <m:r>
          <m:rPr>
            <m:sty m:val="p"/>
          </m:rPr>
          <m:t>,</m:t>
        </m:r>
        <m:r>
          <m:rPr>
            <m:sty m:val="p"/>
          </m:rPr>
          <m:t>–</m:t>
        </m:r>
        <m:r>
          <m:t>1.4</m:t>
        </m:r>
      </m:oMath>
      <w:r>
        <w:t xml:space="preserve">218M in Q1 vs. $47M a year ago).</w:t>
      </w:r>
      <w:r>
        <w:t xml:space="preserve"> </w:t>
      </w:r>
      <w:r>
        <w:rPr>
          <w:b/>
          <w:bCs/>
        </w:rPr>
        <w:t xml:space="preserve">Ex-that allocation, ARPU rose ~0.3%.</w:t>
      </w:r>
      <w:r>
        <w:t xml:space="preserve"> </w:t>
      </w:r>
      <w:r>
        <w:t xml:space="preserve">Expect the same "reported vs. adjusted" dance in Q2. Management says full-year ARPU growth "will be close either way."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Video is genuinely improving</w:t>
      </w:r>
      <w:r>
        <w:t xml:space="preserve"> </w:t>
      </w:r>
      <w:r>
        <w:t xml:space="preserve">— streaming-app bundling (Disney+, HBO Max, Peacock, ESPN, Paramount+, etc., now ~$120+/mo of retail value included) is cutting churn; expanded-basic customers who activate apps churn ~1/3 less.</w:t>
      </w:r>
    </w:p>
    <w:p>
      <w:pPr>
        <w:pStyle w:val="Compact"/>
        <w:numPr>
          <w:ilvl w:val="0"/>
          <w:numId w:val="1005"/>
        </w:numPr>
      </w:pPr>
      <w:r>
        <w:rPr>
          <w:b/>
          <w:bCs/>
        </w:rPr>
        <w:t xml:space="preserve">Advertising tailwind:</w:t>
      </w:r>
      <w:r>
        <w:t xml:space="preserve"> </w:t>
      </w:r>
      <w:r>
        <w:t xml:space="preserve">Q2'25 ad revenue</w:t>
      </w:r>
      <w:r>
        <w:t xml:space="preserve"> </w:t>
      </w:r>
      <w:r>
        <w:rPr>
          <w:i/>
          <w:iCs/>
        </w:rPr>
        <w:t xml:space="preserve">fell</w:t>
      </w:r>
      <w:r>
        <w:t xml:space="preserve"> </w:t>
      </w:r>
      <w:r>
        <w:t xml:space="preserve">6.7% with no political spend.</w:t>
      </w:r>
      <w:r>
        <w:t xml:space="preserve"> </w:t>
      </w:r>
      <w:r>
        <w:rPr>
          <w:b/>
          <w:bCs/>
        </w:rPr>
        <w:t xml:space="preserve">Q2'26 is a midterm-election year</w:t>
      </w:r>
      <w:r>
        <w:t xml:space="preserve"> </w:t>
      </w:r>
      <w:r>
        <w:t xml:space="preserve">— political advertising should be a meaningful y/y tailwind and is central to management's "slight EBITDA growth ex-transition" full-year framing.</w:t>
      </w:r>
    </w:p>
    <w:p>
      <w:r>
        <w:pict>
          <v:rect style="width:0;height:1.5pt" o:hralign="center" o:hrstd="t" o:hr="t"/>
        </w:pict>
      </w:r>
    </w:p>
    <w:bookmarkEnd w:id="16"/>
    <w:bookmarkStart w:id="17" w:name="X112b18a15f47943b0a95f6101cec0dff4a14b4a"/>
    <w:p>
      <w:pPr>
        <w:pStyle w:val="Heading2"/>
      </w:pPr>
      <w:r>
        <w:t xml:space="preserve">Key Debate #5: The FCF Inflection (the crux of the bull case)</w:t>
      </w:r>
    </w:p>
    <w:p>
      <w:pPr>
        <w:pStyle w:val="FirstParagraph"/>
      </w:pPr>
      <w:r>
        <w:t xml:space="preserve">The entire long-term equity story rests on capex peaking and rolling over:</w:t>
      </w:r>
    </w:p>
    <w:p>
      <w:pPr>
        <w:pStyle w:val="Compact"/>
        <w:numPr>
          <w:ilvl w:val="0"/>
          <w:numId w:val="1006"/>
        </w:numPr>
      </w:pPr>
      <w:r>
        <w:t xml:space="preserve">2026 capex guided to</w:t>
      </w:r>
      <w:r>
        <w:t xml:space="preserve"> </w:t>
      </w:r>
      <w:r>
        <w:rPr>
          <w:b/>
          <w:bCs/>
        </w:rPr>
        <w:t xml:space="preserve">~$11.4B</w:t>
      </w:r>
      <w:r>
        <w:t xml:space="preserve">; management expects a</w:t>
      </w:r>
      <w:r>
        <w:t xml:space="preserve"> </w:t>
      </w:r>
      <w:r>
        <w:rPr>
          <w:b/>
          <w:bCs/>
        </w:rPr>
        <w:t xml:space="preserve">"meaningful downward trajectory"</w:t>
      </w:r>
      <w:r>
        <w:t xml:space="preserve"> </w:t>
      </w:r>
      <w:r>
        <w:t xml:space="preserve">thereafter, to</w:t>
      </w:r>
      <w:r>
        <w:t xml:space="preserve"> </w:t>
      </w:r>
      <w:r>
        <w:rPr>
          <w:b/>
          <w:bCs/>
        </w:rPr>
        <w:t xml:space="preserve">below $8B/year</w:t>
      </w:r>
      <w:r>
        <w:t xml:space="preserve"> </w:t>
      </w:r>
      <w:r>
        <w:t xml:space="preserve">once network evolution and rural expansion conclude (~2028).</w:t>
      </w:r>
    </w:p>
    <w:p>
      <w:pPr>
        <w:pStyle w:val="Compact"/>
        <w:numPr>
          <w:ilvl w:val="0"/>
          <w:numId w:val="1006"/>
        </w:numPr>
      </w:pPr>
      <w:r>
        <w:t xml:space="preserve">CFO Jessica Fischer's math: dropping from ~</w:t>
      </w:r>
      <m:oMath>
        <m:r>
          <m:t>11.7</m:t>
        </m:r>
        <m:r>
          <m:t>B</m:t>
        </m:r>
        <m:r>
          <m:rPr>
            <m:sty m:val="p"/>
          </m:rPr>
          <m:t>(</m:t>
        </m:r>
        <m:r>
          <m:t>2025</m:t>
        </m:r>
        <m:r>
          <m:rPr>
            <m:sty m:val="p"/>
          </m:rPr>
          <m:t>)</m:t>
        </m:r>
        <m:r>
          <m:t>t</m:t>
        </m:r>
        <m:r>
          <m:t>o</m:t>
        </m:r>
        <m:r>
          <m:rPr>
            <m:sty m:val="p"/>
          </m:rPr>
          <m:t>&lt;</m:t>
        </m:r>
      </m:oMath>
      <w:r>
        <w:t xml:space="preserve">8B (2028) is worth **~$28/share of incremental FCF**. Substituting 2028 capex into 2026 FCF would imply a</w:t>
      </w:r>
      <w:r>
        <w:t xml:space="preserve"> </w:t>
      </w:r>
      <w:r>
        <w:rPr>
          <w:b/>
          <w:bCs/>
        </w:rPr>
        <w:t xml:space="preserve">~25%+ FCF yield / ~3.8x FCF multiple</w:t>
      </w:r>
      <w:r>
        <w:t xml:space="preserve"> </w:t>
      </w:r>
      <w:r>
        <w:t xml:space="preserve">at the (then-)current price — and the stock is materially</w:t>
      </w:r>
      <w:r>
        <w:t xml:space="preserve"> </w:t>
      </w:r>
      <w:r>
        <w:rPr>
          <w:i/>
          <w:iCs/>
        </w:rPr>
        <w:t xml:space="preserve">lower</w:t>
      </w:r>
      <w:r>
        <w:t xml:space="preserve"> </w:t>
      </w:r>
      <w:r>
        <w:t xml:space="preserve">now.</w:t>
      </w:r>
    </w:p>
    <w:p>
      <w:pPr>
        <w:pStyle w:val="Compact"/>
        <w:numPr>
          <w:ilvl w:val="0"/>
          <w:numId w:val="1006"/>
        </w:numPr>
      </w:pPr>
      <w:r>
        <w:t xml:space="preserve">**Q1 FCF was</w:t>
      </w:r>
      <w:r>
        <w:t xml:space="preserve"> </w:t>
      </w:r>
      <m:oMath>
        <m:r>
          <m:t>1.37</m:t>
        </m:r>
        <m:r>
          <m:t>B</m:t>
        </m:r>
        <m:r>
          <m:rPr>
            <m:sty m:val="p"/>
          </m:rPr>
          <m:t>*</m:t>
        </m:r>
        <m:r>
          <m:rPr>
            <m:sty m:val="p"/>
          </m:rPr>
          <m:t>*</m:t>
        </m:r>
        <m:r>
          <m:rPr>
            <m:sty m:val="p"/>
          </m:rPr>
          <m:t>(</m:t>
        </m:r>
        <m:r>
          <m:t>d</m:t>
        </m:r>
        <m:r>
          <m:t>o</m:t>
        </m:r>
        <m:r>
          <m:t>w</m:t>
        </m:r>
        <m:r>
          <m:t>n</m:t>
        </m:r>
        <m:r>
          <m:t>y</m:t>
        </m:r>
        <m:r>
          <m:rPr>
            <m:sty m:val="p"/>
          </m:rPr>
          <m:t>/</m:t>
        </m:r>
        <m:r>
          <m:t>y</m:t>
        </m:r>
        <m:r>
          <m:t>o</m:t>
        </m:r>
        <m:r>
          <m:t>n</m:t>
        </m:r>
        <m:r>
          <m:t>e</m:t>
        </m:r>
        <m:r>
          <m:t>l</m:t>
        </m:r>
        <m:r>
          <m:t>e</m:t>
        </m:r>
        <m:r>
          <m:t>v</m:t>
        </m:r>
        <m:r>
          <m:t>a</m:t>
        </m:r>
        <m:r>
          <m:t>t</m:t>
        </m:r>
        <m:r>
          <m:t>e</m:t>
        </m:r>
        <m:r>
          <m:t>d</m:t>
        </m:r>
        <m:r>
          <m:t>c</m:t>
        </m:r>
        <m:r>
          <m:t>a</m:t>
        </m:r>
        <m:r>
          <m:t>p</m:t>
        </m:r>
        <m:r>
          <m:t>e</m:t>
        </m:r>
        <m:r>
          <m:t>x</m:t>
        </m:r>
        <m:r>
          <m:t>t</m:t>
        </m:r>
        <m:r>
          <m:t>i</m:t>
        </m:r>
        <m:r>
          <m:t>m</m:t>
        </m:r>
        <m:r>
          <m:t>i</m:t>
        </m:r>
        <m:r>
          <m:t>n</m:t>
        </m:r>
        <m:r>
          <m:t>g</m:t>
        </m:r>
        <m:r>
          <m:rPr>
            <m:sty m:val="p"/>
          </m:rPr>
          <m:t>)</m:t>
        </m:r>
        <m:r>
          <m:rPr>
            <m:sty m:val="p"/>
          </m:rPr>
          <m:t>;</m:t>
        </m:r>
        <m:r>
          <m:t>c</m:t>
        </m:r>
        <m:r>
          <m:t>o</m:t>
        </m:r>
        <m:r>
          <m:t>n</m:t>
        </m:r>
        <m:r>
          <m:t>s</m:t>
        </m:r>
        <m:r>
          <m:t>e</m:t>
        </m:r>
        <m:r>
          <m:t>n</m:t>
        </m:r>
        <m:r>
          <m:t>s</m:t>
        </m:r>
        <m:r>
          <m:t>u</m:t>
        </m:r>
        <m:r>
          <m:t>s</m:t>
        </m:r>
        <m:r>
          <m:t>Q</m:t>
        </m:r>
        <m:r>
          <m:t>2</m:t>
        </m:r>
        <m:r>
          <m:t>F</m:t>
        </m:r>
        <m:r>
          <m:t>C</m:t>
        </m:r>
        <m:r>
          <m:t>F</m:t>
        </m:r>
        <m:r>
          <m:t> </m:t>
        </m:r>
      </m:oMath>
      <w:r>
        <w:t xml:space="preserve">1.13B.</w:t>
      </w:r>
    </w:p>
    <w:p>
      <w:pPr>
        <w:pStyle w:val="Compact"/>
        <w:numPr>
          <w:ilvl w:val="0"/>
          <w:numId w:val="1006"/>
        </w:numPr>
      </w:pPr>
      <w:r>
        <w:rPr>
          <w:b/>
          <w:bCs/>
        </w:rPr>
        <w:t xml:space="preserve">Capital returns:</w:t>
      </w:r>
      <w:r>
        <w:t xml:space="preserve"> </w:t>
      </w:r>
      <w:r>
        <w:t xml:space="preserve">Charter bought back</w:t>
      </w:r>
      <w:r>
        <w:t xml:space="preserve"> </w:t>
      </w:r>
      <w:r>
        <w:rPr>
          <w:b/>
          <w:bCs/>
        </w:rPr>
        <w:t xml:space="preserve">4.3M shares for</w:t>
      </w:r>
      <w:r>
        <w:rPr>
          <w:b/>
          <w:bCs/>
        </w:rPr>
        <w:t xml:space="preserve"> </w:t>
      </w:r>
      <m:oMath>
        <m:r>
          <m:t>963</m:t>
        </m:r>
        <m:r>
          <m:t>M</m:t>
        </m:r>
        <m:r>
          <m:rPr>
            <m:sty m:val="p"/>
          </m:rPr>
          <m:t>(</m:t>
        </m:r>
        <m:r>
          <m:t> </m:t>
        </m:r>
      </m:oMath>
      <w:r>
        <w:rPr>
          <w:b/>
          <w:bCs/>
        </w:rPr>
        <w:t xml:space="preserve">225 avg) in Q1</w:t>
      </w:r>
      <w:r>
        <w:t xml:space="preserve"> </w:t>
      </w:r>
      <w:r>
        <w:t xml:space="preserve">— well above today's ~</w:t>
      </w:r>
      <m:oMath>
        <m:r>
          <m:t>127</m:t>
        </m:r>
        <m:r>
          <m:t>p</m:t>
        </m:r>
        <m:r>
          <m:t>r</m:t>
        </m:r>
        <m:r>
          <m:t>i</m:t>
        </m:r>
        <m:r>
          <m:t>c</m:t>
        </m:r>
        <m:r>
          <m:t>e</m:t>
        </m:r>
        <m:r>
          <m:rPr>
            <m:sty m:val="p"/>
          </m:rPr>
          <m:t>.</m:t>
        </m:r>
        <m:r>
          <m:t>C</m:t>
        </m:r>
        <m:r>
          <m:t>o</m:t>
        </m:r>
        <m:r>
          <m:t>n</m:t>
        </m:r>
        <m:r>
          <m:t>t</m:t>
        </m:r>
        <m:r>
          <m:t>i</m:t>
        </m:r>
        <m:r>
          <m:t>n</m:t>
        </m:r>
        <m:r>
          <m:t>u</m:t>
        </m:r>
        <m:r>
          <m:t>e</m:t>
        </m:r>
        <m:r>
          <m:t>d</m:t>
        </m:r>
        <m:r>
          <m:t>a</m:t>
        </m:r>
        <m:r>
          <m:t>g</m:t>
        </m:r>
        <m:r>
          <m:t>g</m:t>
        </m:r>
        <m:r>
          <m:t>r</m:t>
        </m:r>
        <m:r>
          <m:t>e</m:t>
        </m:r>
        <m:r>
          <m:t>s</m:t>
        </m:r>
        <m:r>
          <m:t>s</m:t>
        </m:r>
        <m:r>
          <m:t>i</m:t>
        </m:r>
        <m:r>
          <m:t>v</m:t>
        </m:r>
        <m:r>
          <m:t>e</m:t>
        </m:r>
        <m:r>
          <m:t>r</m:t>
        </m:r>
        <m:r>
          <m:t>e</m:t>
        </m:r>
        <m:r>
          <m:t>p</m:t>
        </m:r>
        <m:r>
          <m:t>u</m:t>
        </m:r>
        <m:r>
          <m:t>r</m:t>
        </m:r>
        <m:r>
          <m:t>c</m:t>
        </m:r>
        <m:r>
          <m:t>h</m:t>
        </m:r>
        <m:r>
          <m:t>a</m:t>
        </m:r>
        <m:r>
          <m:t>s</m:t>
        </m:r>
        <m:r>
          <m:t>e</m:t>
        </m:r>
        <m:r>
          <m:t>a</m:t>
        </m:r>
        <m:r>
          <m:t>t</m:t>
        </m:r>
        <m:r>
          <m:t>d</m:t>
        </m:r>
        <m:r>
          <m:t>e</m:t>
        </m:r>
        <m:r>
          <m:t>p</m:t>
        </m:r>
        <m:r>
          <m:t>r</m:t>
        </m:r>
        <m:r>
          <m:t>e</m:t>
        </m:r>
        <m:r>
          <m:t>s</m:t>
        </m:r>
        <m:r>
          <m:t>s</m:t>
        </m:r>
        <m:r>
          <m:t>e</m:t>
        </m:r>
        <m:r>
          <m:t>d</m:t>
        </m:r>
        <m:r>
          <m:t>l</m:t>
        </m:r>
        <m:r>
          <m:t>e</m:t>
        </m:r>
        <m:r>
          <m:t>v</m:t>
        </m:r>
        <m:r>
          <m:t>e</m:t>
        </m:r>
        <m:r>
          <m:t>l</m:t>
        </m:r>
        <m:r>
          <m:t>s</m:t>
        </m:r>
        <m:r>
          <m:rPr>
            <m:sty m:val="p"/>
          </m:rPr>
          <m:t>,</m:t>
        </m:r>
        <m:r>
          <m:t>f</m:t>
        </m:r>
        <m:r>
          <m:t>u</m:t>
        </m:r>
        <m:r>
          <m:t>n</m:t>
        </m:r>
        <m:r>
          <m:t>d</m:t>
        </m:r>
        <m:r>
          <m:t>e</m:t>
        </m:r>
        <m:r>
          <m:t>d</m:t>
        </m:r>
        <m:r>
          <m:t>b</m:t>
        </m:r>
        <m:r>
          <m:t>y</m:t>
        </m:r>
        <m:r>
          <m:t>t</m:t>
        </m:r>
        <m:r>
          <m:t>h</m:t>
        </m:r>
        <m:r>
          <m:t>e</m:t>
        </m:r>
        <m:r>
          <m:t>c</m:t>
        </m:r>
        <m:r>
          <m:t>o</m:t>
        </m:r>
        <m:r>
          <m:t>m</m:t>
        </m:r>
        <m:r>
          <m:t>i</m:t>
        </m:r>
        <m:r>
          <m:t>n</m:t>
        </m:r>
        <m:r>
          <m:t>g</m:t>
        </m:r>
        <m:r>
          <m:t>F</m:t>
        </m:r>
        <m:r>
          <m:t>C</m:t>
        </m:r>
        <m:r>
          <m:t>F</m:t>
        </m:r>
        <m:r>
          <m:t>r</m:t>
        </m:r>
        <m:r>
          <m:t>a</m:t>
        </m:r>
        <m:r>
          <m:t>m</m:t>
        </m:r>
        <m:r>
          <m:t>p</m:t>
        </m:r>
        <m:r>
          <m:rPr>
            <m:sty m:val="p"/>
          </m:rPr>
          <m:t>,</m:t>
        </m:r>
        <m:r>
          <m:t>i</m:t>
        </m:r>
        <m:r>
          <m:t>s</m:t>
        </m:r>
        <m:r>
          <m:t>t</m:t>
        </m:r>
        <m:r>
          <m:t>h</m:t>
        </m:r>
        <m:r>
          <m:t>e</m:t>
        </m:r>
        <m:r>
          <m:t>b</m:t>
        </m:r>
        <m:r>
          <m:t>u</m:t>
        </m:r>
        <m:r>
          <m:t>l</m:t>
        </m:r>
        <m:sSup>
          <m:e>
            <m:r>
              <m:t>l</m:t>
            </m:r>
          </m:e>
          <m:sup>
            <m:r>
              <m:rPr>
                <m:sty m:val="p"/>
              </m:rPr>
              <m:t>′</m:t>
            </m:r>
          </m:sup>
        </m:sSup>
        <m:r>
          <m:t>s</m:t>
        </m:r>
        <m:r>
          <m:t>c</m:t>
        </m:r>
        <m:r>
          <m:t>o</m:t>
        </m:r>
        <m:r>
          <m:t>m</m:t>
        </m:r>
        <m:r>
          <m:t>p</m:t>
        </m:r>
        <m:r>
          <m:t>o</m:t>
        </m:r>
        <m:r>
          <m:t>u</m:t>
        </m:r>
        <m:r>
          <m:t>n</m:t>
        </m:r>
        <m:r>
          <m:t>d</m:t>
        </m:r>
        <m:r>
          <m:t>i</m:t>
        </m:r>
        <m:r>
          <m:t>n</m:t>
        </m:r>
        <m:r>
          <m:t>g</m:t>
        </m:r>
        <m:r>
          <m:t>l</m:t>
        </m:r>
        <m:r>
          <m:t>e</m:t>
        </m:r>
        <m:r>
          <m:t>v</m:t>
        </m:r>
        <m:r>
          <m:t>e</m:t>
        </m:r>
        <m:r>
          <m:t>r</m:t>
        </m:r>
        <m:r>
          <m:rPr>
            <m:sty m:val="p"/>
          </m:rPr>
          <m:t>.</m:t>
        </m:r>
        <m:r>
          <m:t>D</m:t>
        </m:r>
        <m:r>
          <m:t>e</m:t>
        </m:r>
        <m:r>
          <m:t>b</m:t>
        </m:r>
        <m:r>
          <m:t>t</m:t>
        </m:r>
        <m:r>
          <m:t>w</m:t>
        </m:r>
        <m:r>
          <m:t>a</m:t>
        </m:r>
        <m:r>
          <m:t>s</m:t>
        </m:r>
        <m:r>
          <m:t> </m:t>
        </m:r>
      </m:oMath>
      <w:r>
        <w:t xml:space="preserve">94B at a</w:t>
      </w:r>
      <w:r>
        <w:t xml:space="preserve"> </w:t>
      </w:r>
      <w:r>
        <w:rPr>
          <w:b/>
          <w:bCs/>
        </w:rPr>
        <w:t xml:space="preserve">5.2% weighted cost</w:t>
      </w:r>
      <w:r>
        <w:t xml:space="preserve">; leverage 4.15x (4.22x pro forma Liberty).</w:t>
      </w:r>
    </w:p>
    <w:p>
      <w:pPr>
        <w:pStyle w:val="FirstParagraph"/>
      </w:pPr>
      <w:r>
        <w:rPr>
          <w:b/>
          <w:bCs/>
        </w:rPr>
        <w:t xml:space="preserve">What to watch:</w:t>
      </w:r>
      <w:r>
        <w:t xml:space="preserve"> </w:t>
      </w:r>
      <w:r>
        <w:t xml:space="preserve">Any reaffirmation (or trimming) of the 2026 capex number, the &lt;$8B 2028 run-rate, and buyback cadence into the Cox close.</w:t>
      </w:r>
    </w:p>
    <w:p>
      <w:r>
        <w:pict>
          <v:rect style="width:0;height:1.5pt" o:hralign="center" o:hrstd="t" o:hr="t"/>
        </w:pict>
      </w:r>
    </w:p>
    <w:bookmarkEnd w:id="17"/>
    <w:bookmarkStart w:id="18" w:name="wildcard-spacex-partnership-chatter"/>
    <w:p>
      <w:pPr>
        <w:pStyle w:val="Heading2"/>
      </w:pPr>
      <w:r>
        <w:t xml:space="preserve">Wildcard: SpaceX Partnership Chatter</w:t>
      </w:r>
    </w:p>
    <w:p>
      <w:pPr>
        <w:pStyle w:val="FirstParagraph"/>
      </w:pPr>
      <w:r>
        <w:t xml:space="preserve">In late June,</w:t>
      </w:r>
      <w:r>
        <w:t xml:space="preserve"> </w:t>
      </w:r>
      <w:r>
        <w:rPr>
          <w:b/>
          <w:bCs/>
        </w:rPr>
        <w:t xml:space="preserve">Bloomberg/Reuters reported SpaceX and Charter held executive-level talks about a U.S. consumer mobile partnership.</w:t>
      </w:r>
      <w:r>
        <w:t xml:space="preserve"> </w:t>
      </w:r>
      <w:r>
        <w:t xml:space="preserve">This dovetails with Winfrey's Q1 comment that satellite could be</w:t>
      </w:r>
      <w:r>
        <w:t xml:space="preserve"> </w:t>
      </w:r>
      <w:r>
        <w:rPr>
          <w:b/>
          <w:bCs/>
        </w:rPr>
        <w:t xml:space="preserve">"more friend than foe"</w:t>
      </w:r>
      <w:r>
        <w:t xml:space="preserve"> </w:t>
      </w:r>
      <w:r>
        <w:t xml:space="preserve">— potentially reselling/bundling satellite with Charter broadband (as it already does 5G backup via Invincible WiFi). If confirmed or advanced, it partially neutralizes the Starlink bear thesis. Expect a question; management may or may not comment.</w:t>
      </w:r>
    </w:p>
    <w:p>
      <w:r>
        <w:pict>
          <v:rect style="width:0;height:1.5pt" o:hralign="center" o:hrstd="t" o:hr="t"/>
        </w:pict>
      </w:r>
    </w:p>
    <w:bookmarkEnd w:id="18"/>
    <w:bookmarkStart w:id="19" w:name="bottom-line--what-would-move-the-stock"/>
    <w:p>
      <w:pPr>
        <w:pStyle w:val="Heading2"/>
      </w:pPr>
      <w:r>
        <w:t xml:space="preserve">Bottom Line — What Would Move the Stock</w:t>
      </w:r>
    </w:p>
    <w:p>
      <w:pPr>
        <w:pStyle w:val="FirstParagraph"/>
      </w:pPr>
      <w:r>
        <w:rPr>
          <w:b/>
          <w:bCs/>
        </w:rPr>
        <w:t xml:space="preserve">Positive surprises:</w:t>
      </w:r>
    </w:p>
    <w:p>
      <w:pPr>
        <w:pStyle w:val="Compact"/>
        <w:numPr>
          <w:ilvl w:val="0"/>
          <w:numId w:val="1007"/>
        </w:numPr>
      </w:pPr>
      <w:r>
        <w:t xml:space="preserve">A firm Cox</w:t>
      </w:r>
      <w:r>
        <w:t xml:space="preserve"> </w:t>
      </w:r>
      <w:r>
        <w:rPr>
          <w:b/>
          <w:bCs/>
        </w:rPr>
        <w:t xml:space="preserve">close date</w:t>
      </w:r>
      <w:r>
        <w:t xml:space="preserve"> </w:t>
      </w:r>
      <w:r>
        <w:t xml:space="preserve">(California resolved) and/or higher synergy guidance</w:t>
      </w:r>
    </w:p>
    <w:p>
      <w:pPr>
        <w:pStyle w:val="Compact"/>
        <w:numPr>
          <w:ilvl w:val="0"/>
          <w:numId w:val="1007"/>
        </w:numPr>
      </w:pPr>
      <w:r>
        <w:t xml:space="preserve">Broadband losses</w:t>
      </w:r>
      <w:r>
        <w:t xml:space="preserve"> </w:t>
      </w:r>
      <w:r>
        <w:rPr>
          <w:b/>
          <w:bCs/>
        </w:rPr>
        <w:t xml:space="preserve">better than –142K</w:t>
      </w:r>
      <w:r>
        <w:t xml:space="preserve"> </w:t>
      </w:r>
      <w:r>
        <w:t xml:space="preserve">/ evidence the top-of-funnel is stabilizing</w:t>
      </w:r>
    </w:p>
    <w:p>
      <w:pPr>
        <w:pStyle w:val="Compact"/>
        <w:numPr>
          <w:ilvl w:val="0"/>
          <w:numId w:val="1007"/>
        </w:numPr>
      </w:pPr>
      <w:r>
        <w:t xml:space="preserve">Reaffirmed</w:t>
      </w:r>
      <w:r>
        <w:t xml:space="preserve"> </w:t>
      </w:r>
      <w:r>
        <w:rPr>
          <w:b/>
          <w:bCs/>
        </w:rPr>
        <w:t xml:space="preserve">capex reduction path</w:t>
      </w:r>
      <w:r>
        <w:t xml:space="preserve"> </w:t>
      </w:r>
      <w:r>
        <w:t xml:space="preserve">and continued heavy buybacks</w:t>
      </w:r>
    </w:p>
    <w:p>
      <w:pPr>
        <w:pStyle w:val="Compact"/>
        <w:numPr>
          <w:ilvl w:val="0"/>
          <w:numId w:val="1007"/>
        </w:numPr>
      </w:pPr>
      <w:r>
        <w:t xml:space="preserve">Any substance on the</w:t>
      </w:r>
      <w:r>
        <w:t xml:space="preserve"> </w:t>
      </w:r>
      <w:r>
        <w:rPr>
          <w:b/>
          <w:bCs/>
        </w:rPr>
        <w:t xml:space="preserve">SpaceX mobile partnership</w:t>
      </w:r>
    </w:p>
    <w:p>
      <w:pPr>
        <w:pStyle w:val="FirstParagraph"/>
      </w:pPr>
      <w:r>
        <w:rPr>
          <w:b/>
          <w:bCs/>
        </w:rPr>
        <w:t xml:space="preserve">Negative surprises:</w:t>
      </w:r>
    </w:p>
    <w:p>
      <w:pPr>
        <w:pStyle w:val="Compact"/>
        <w:numPr>
          <w:ilvl w:val="0"/>
          <w:numId w:val="1008"/>
        </w:numPr>
      </w:pPr>
      <w:r>
        <w:t xml:space="preserve">Broadband losses</w:t>
      </w:r>
      <w:r>
        <w:t xml:space="preserve"> </w:t>
      </w:r>
      <w:r>
        <w:rPr>
          <w:b/>
          <w:bCs/>
        </w:rPr>
        <w:t xml:space="preserve">worse</w:t>
      </w:r>
      <w:r>
        <w:t xml:space="preserve"> </w:t>
      </w:r>
      <w:r>
        <w:t xml:space="preserve">than expected (accelerating secular pressure)</w:t>
      </w:r>
    </w:p>
    <w:p>
      <w:pPr>
        <w:pStyle w:val="Compact"/>
        <w:numPr>
          <w:ilvl w:val="0"/>
          <w:numId w:val="1008"/>
        </w:numPr>
      </w:pPr>
      <w:r>
        <w:t xml:space="preserve">Mobile net adds materially below ~380K</w:t>
      </w:r>
    </w:p>
    <w:p>
      <w:pPr>
        <w:pStyle w:val="Compact"/>
        <w:numPr>
          <w:ilvl w:val="0"/>
          <w:numId w:val="1008"/>
        </w:numPr>
      </w:pPr>
      <w:r>
        <w:t xml:space="preserve">EBITDA weakness beyond transition costs / softer full-year framing</w:t>
      </w:r>
    </w:p>
    <w:p>
      <w:pPr>
        <w:pStyle w:val="Compact"/>
        <w:numPr>
          <w:ilvl w:val="0"/>
          <w:numId w:val="1008"/>
        </w:numPr>
      </w:pPr>
      <w:r>
        <w:t xml:space="preserve">Cox close</w:t>
      </w:r>
      <w:r>
        <w:t xml:space="preserve"> </w:t>
      </w:r>
      <w:r>
        <w:rPr>
          <w:b/>
          <w:bCs/>
        </w:rPr>
        <w:t xml:space="preserve">slipping</w:t>
      </w:r>
      <w:r>
        <w:t xml:space="preserve"> </w:t>
      </w:r>
      <w:r>
        <w:t xml:space="preserve">beyond summer</w:t>
      </w:r>
    </w:p>
    <w:p>
      <w:pPr>
        <w:pStyle w:val="FirstParagraph"/>
      </w:pPr>
      <w:r>
        <w:t xml:space="preserve">Given the stock is down ~40% YTD and sentiment is washed out, the risk/reward skews toward</w:t>
      </w:r>
      <w:r>
        <w:t xml:space="preserve"> </w:t>
      </w:r>
      <w:r>
        <w:rPr>
          <w:b/>
          <w:bCs/>
        </w:rPr>
        <w:t xml:space="preserve">any stabilization being rewarded</w:t>
      </w:r>
      <w:r>
        <w:t xml:space="preserve"> </w:t>
      </w:r>
      <w:r>
        <w:t xml:space="preserve">— but the burden of proof is on management to show the secular broadband narrative is overdone. The Cox close is the near-term event that resets the entire model.</w:t>
      </w:r>
    </w:p>
    <w:p>
      <w:r>
        <w:pict>
          <v:rect style="width:0;height:1.5pt" o:hralign="center" o:hrstd="t" o:hr="t"/>
        </w:pict>
      </w:r>
    </w:p>
    <w:p>
      <w:pPr>
        <w:pStyle w:val="FirstParagraph"/>
      </w:pPr>
      <w:r>
        <w:rPr>
          <w:i/>
          <w:iCs/>
        </w:rPr>
        <w:t xml:space="preserve">Sources: Charter Q1 2026 earnings release &amp; call transcript (4/24/26), Q2 2025 earnings release (7/25/25), consensus estimates and stock data as of 7/23/26, and reporting on SpaceX–Charter partnership talks (6/26/26). All figures approximate; consensus figures per pre-earnings news digest.</w:t>
      </w:r>
    </w:p>
    <w:bookmarkEnd w:id="1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  <w:num w:numId="1002">
    <w:abstractNumId w:val="991"/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1"/>
  </w:num>
  <w:num w:numId="1007">
    <w:abstractNumId w:val="991"/>
  </w:num>
  <w:num w:numId="1008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2026-07-24T00:04:42Z</dcterms:created>
  <dcterms:modified xsi:type="dcterms:W3CDTF">2026-07-24T00:04:42Z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