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tr-earnings-predictions--2026-07-24"/>
    <w:p>
      <w:pPr>
        <w:pStyle w:val="Heading1"/>
      </w:pPr>
      <w:r>
        <w:t xml:space="preserve">CHTR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~$9.55 vs. cons $10.05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Residential Broadband Net Adds (losses)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~-160K vs. cons -142K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~$13.30B vs. cons $13.51B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Growth (ex-transition costs)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~1.5% growth vs. cons ~3.0% growth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Residential Internet ARPU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~0.0% vs. cons ~+1.0%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~$11.4B vs. cons $11.4B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Cox Transaction Synergy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~$800M vs. prior/cons $800M (multi-year, post-close run-rate)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Debt/EBITDA Leverage (Cox pendency)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~4.25x vs. cons ~4.20x (Q2 2026, pre-Cox close)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-9.0%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-13.5% (FOLLOW-THROUGH)</w:t>
            </w:r>
          </w:p>
        </w:tc>
        <w:tc>
          <w:tcPr/>
          <w:p>
            <w:pPr>
              <w:pStyle w:val="Compact"/>
            </w:pPr>
            <w:r>
              <w:t xml:space="preserve">Implicit full-year EBITDA/ARPU guide-downs plus a 5th consecutive EPS miss should trigger further negative estimate revisions into and beyond the print, echoing the Q1 pattern where the stock kept sliding ~8-9% in the days after the initial post-earnings drop as sell-side models were cut. With no offsetting catalyst before the Aug 13 CPUC vote (three weeks out) and Zacks ESP already deeply negative, out-period math (weaker ARPU/EBITDA trajectory feeding FY26-27 consensus) argues for continued drift lower rather than a snap-back, though the stock's already-depressed valuation (84% off highs) caps the magnitude versus the Q1 shock.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2026-07-24T00:04:54Z</dcterms:created>
  <dcterms:modified xsi:type="dcterms:W3CDTF">2026-07-24T00:04:54Z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