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7" w:name="Xfa2a71147a4196b3e74a4697a1aaecffb452ae8"/>
    <w:p>
      <w:pPr>
        <w:pStyle w:val="Heading1"/>
      </w:pPr>
      <w:r>
        <w:t xml:space="preserve">Charter Communications (CHTR) — Q2 2026 Earnings Preview</w:t>
      </w:r>
    </w:p>
    <w:p>
      <w:pPr>
        <w:pStyle w:val="FirstParagraph"/>
      </w:pPr>
      <w:r>
        <w:rPr>
          <w:b/>
          <w:bCs/>
        </w:rPr>
        <w:t xml:space="preserve">Report Date:</w:t>
      </w:r>
      <w:r>
        <w:t xml:space="preserve"> </w:t>
      </w:r>
      <w:r>
        <w:t xml:space="preserve">Friday, July 24, 2026, before market open |</w:t>
      </w:r>
      <w:r>
        <w:t xml:space="preserve"> </w:t>
      </w:r>
      <w:r>
        <w:rPr>
          <w:b/>
          <w:bCs/>
        </w:rPr>
        <w:t xml:space="preserve">Call:</w:t>
      </w:r>
      <w:r>
        <w:t xml:space="preserve"> </w:t>
      </w:r>
      <w:r>
        <w:t xml:space="preserve">2026Q2 Earnings Call</w:t>
      </w:r>
    </w:p>
    <w:bookmarkStart w:id="9" w:name="the-setup-a-stock-in-freefall"/>
    <w:p>
      <w:pPr>
        <w:pStyle w:val="Heading2"/>
      </w:pPr>
      <w:r>
        <w:t xml:space="preserve">The Setup: A Stock in Freefall</w:t>
      </w:r>
    </w:p>
    <w:p>
      <w:pPr>
        <w:pStyle w:val="FirstParagraph"/>
      </w:pPr>
      <w:r>
        <w:t xml:space="preserve">Few large-cap names have had a rougher year than Charter. Charter Communications stock has declined 39% this year and is down 84% from its record closing high of $821.01 from September 2, 2021. The proximate trigger for the latest leg down was the Q1 2026 print itself: the stock plunged 66.6% over the trailing 52 weeks, vastly underperforming the S&amp;P 500, and shares were bouncing back after a record-breaking 25.5% one-day plummet on April 24, 2026 when Q1 results were released. That single-day move remains one of the largest in the stock's history and set a bearish tone that has persisted into this print.</w:t>
      </w:r>
    </w:p>
    <w:p>
      <w:pPr>
        <w:pStyle w:val="BodyText"/>
      </w:pPr>
      <w:r>
        <w:t xml:space="preserve">Sentiment has been so poor that even a stock-price rally in late June — shares have fallen as investors worry SpaceX's Starlink satellite service will take market share from internet providers — was driven not by fundamentals but by speculative M&amp;A and partnership chatter (more below).</w:t>
      </w:r>
    </w:p>
    <w:bookmarkEnd w:id="9"/>
    <w:bookmarkStart w:id="10" w:name="what-wall-street-expects-tomorrow"/>
    <w:p>
      <w:pPr>
        <w:pStyle w:val="Heading2"/>
      </w:pPr>
      <w:r>
        <w:t xml:space="preserve">What Wall Street Expects Tomorrow</w:t>
      </w:r>
    </w:p>
    <w:p>
      <w:pPr>
        <w:pStyle w:val="FirstParagraph"/>
      </w:pPr>
      <w:r>
        <w:t xml:space="preserve">Sentiment heading into the print is extremely cautious as investors fear intensifying secular competition will depress growth and cash flow. Consensus modeling:</w:t>
      </w:r>
    </w:p>
    <w:p>
      <w:pPr>
        <w:pStyle w:val="Compact"/>
        <w:numPr>
          <w:ilvl w:val="0"/>
          <w:numId w:val="1001"/>
        </w:numPr>
      </w:pPr>
      <w:r>
        <w:rPr>
          <w:b/>
          <w:bCs/>
        </w:rPr>
        <w:t xml:space="preserve">Revenue:</w:t>
      </w:r>
      <w:r>
        <w:t xml:space="preserve"> </w:t>
      </w:r>
      <w:r>
        <w:t xml:space="preserve">Revenue expected at -1.75% to $13.5B, consistent with a separate estimate that second-quarter 2026 revenues is pegged at $13.52 billion, indicating a decline of 1.77% from the figure reported in the year-ago quarter.</w:t>
      </w:r>
    </w:p>
    <w:p>
      <w:pPr>
        <w:pStyle w:val="Compact"/>
        <w:numPr>
          <w:ilvl w:val="0"/>
          <w:numId w:val="1001"/>
        </w:numPr>
      </w:pPr>
      <w:r>
        <w:rPr>
          <w:b/>
          <w:bCs/>
        </w:rPr>
        <w:t xml:space="preserve">EPS:</w:t>
      </w:r>
      <w:r>
        <w:t xml:space="preserve"> </w:t>
      </w:r>
      <w:r>
        <w:t xml:space="preserve">Estimates cluster around</w:t>
      </w:r>
      <w:r>
        <w:t xml:space="preserve"> </w:t>
      </w:r>
      <m:oMath>
        <m:r>
          <m:t>10.00</m:t>
        </m:r>
        <m:r>
          <m:rPr>
            <m:sty m:val="p"/>
          </m:rPr>
          <m:t>–</m:t>
        </m:r>
      </m:oMath>
      <w:r>
        <w:t xml:space="preserve">10.24, though analysts are modeling EPS of $10.00 on revenue of $13.51 billion, with the estimate range spanning from $8.40 to $11.73, reflecting divergent views on the company's profitability trajectory. Notably, analyst conviction has weakened as the quarter progressed, with the consensus EPS estimate drifting down over the past 30 days from $10.23, and down over the past 90 days from $10.67.</w:t>
      </w:r>
    </w:p>
    <w:p>
      <w:pPr>
        <w:pStyle w:val="Compact"/>
        <w:numPr>
          <w:ilvl w:val="0"/>
          <w:numId w:val="1001"/>
        </w:numPr>
      </w:pPr>
      <w:r>
        <w:rPr>
          <w:b/>
          <w:bCs/>
        </w:rPr>
        <w:t xml:space="preserve">EBITDA/FCF:</w:t>
      </w:r>
      <w:r>
        <w:t xml:space="preserve"> </w:t>
      </w:r>
      <w:r>
        <w:t xml:space="preserve">EBITDA of approximately $5.58B, and free cash flow of approximately $1.13B.</w:t>
      </w:r>
    </w:p>
    <w:p>
      <w:pPr>
        <w:pStyle w:val="Compact"/>
        <w:numPr>
          <w:ilvl w:val="0"/>
          <w:numId w:val="1001"/>
        </w:numPr>
      </w:pPr>
      <w:r>
        <w:rPr>
          <w:b/>
          <w:bCs/>
        </w:rPr>
        <w:t xml:space="preserve">Subscribers:</w:t>
      </w:r>
      <w:r>
        <w:t xml:space="preserve"> </w:t>
      </w:r>
      <w:r>
        <w:t xml:space="preserve">Consensus models residential broadband subscriber losses of 142K net, offset by mobile subscriber gains of 380K and video subscriber losses of 54K.</w:t>
      </w:r>
    </w:p>
    <w:p>
      <w:pPr>
        <w:pStyle w:val="FirstParagraph"/>
      </w:pPr>
      <w:r>
        <w:t xml:space="preserve">Charter's track record against these numbers has been poor: CHTR missed the Zacks Consensus Estimate for earnings in all the trailing four quarters, with an average negative surprise of 6.95%, and heading into this print Charter currently has an Earnings ESP of -5.22% and a Zacks Rank #5 (Strong Sell). The prevailing sell-side view is that Charter is expected to have delivered a soft second-quarter 2026 performance, with mobile growth losing steam and broadband weakness persisting, and EBITDA facing renewed pressure given difficult year-over-year comparisons, the absence of a meaningful political advertising benefit and rising integration-related costs.</w:t>
      </w:r>
    </w:p>
    <w:bookmarkEnd w:id="10"/>
    <w:bookmarkStart w:id="11" w:name="q1-2026-recap-why-the-bar-is-low"/>
    <w:p>
      <w:pPr>
        <w:pStyle w:val="Heading2"/>
      </w:pPr>
      <w:r>
        <w:t xml:space="preserve">Q1 2026 Recap: Why the Bar Is Low</w:t>
      </w:r>
    </w:p>
    <w:p>
      <w:pPr>
        <w:pStyle w:val="FirstParagraph"/>
      </w:pPr>
      <w:r>
        <w:t xml:space="preserve">Q1 set a grim precedent. Headline numbers were roughly in line, but subscriber metrics badly missed: residential internet net subscriber losses came in weaker at -117K versus Street expectations of -99K, and mobile net additions of +368K fell short of the +438K consensus forecast, while video subscriber losses were better than feared at -51K compared to the Street projection of -74K. Management also flagged that Charter shares crashed on Friday after the company reported weaker-than-anticipated broadband losses and wireless shortfalls, and warned that it likely won't achieve ARPU growth this year.</w:t>
      </w:r>
    </w:p>
    <w:p>
      <w:pPr>
        <w:pStyle w:val="BodyText"/>
      </w:pPr>
      <w:r>
        <w:t xml:space="preserve">On the Q1 call, CFO Jessica Fischer reiterated that full-year Internet ARPU growth "will be close either way" and that the company hadn't decided on pricing increases, while CEO Chris Winfrey characterized the core problem as a "top of funnel" issue — churn and yield remain strong, but new-customer consideration is weak amid fixed-wireless expansion (notably AT&amp;T), continued fiber overbuild, and muted housing activity. Notably, management pushed back on the idea that satellite (Starlink) is currently taking meaningful share, calling it potentially "more friend than foe" in low-density markets.</w:t>
      </w:r>
    </w:p>
    <w:p>
      <w:pPr>
        <w:pStyle w:val="BodyText"/>
      </w:pPr>
      <w:r>
        <w:rPr>
          <w:b/>
          <w:bCs/>
        </w:rPr>
        <w:t xml:space="preserve">Key things to watch for confirmation/reversal in Q2:</w:t>
      </w:r>
    </w:p>
    <w:p>
      <w:pPr>
        <w:pStyle w:val="Compact"/>
        <w:numPr>
          <w:ilvl w:val="0"/>
          <w:numId w:val="1002"/>
        </w:numPr>
      </w:pPr>
      <w:r>
        <w:t xml:space="preserve">Whether broadband losses stabilize or worsen relative to Q1's 120K net loss</w:t>
      </w:r>
    </w:p>
    <w:p>
      <w:pPr>
        <w:pStyle w:val="Compact"/>
        <w:numPr>
          <w:ilvl w:val="0"/>
          <w:numId w:val="1002"/>
        </w:numPr>
      </w:pPr>
      <w:r>
        <w:t xml:space="preserve">Whether mobile net adds re-accelerate after slowing to 368K (from 507K a year ago) amid heavy telco device subsidies</w:t>
      </w:r>
    </w:p>
    <w:p>
      <w:pPr>
        <w:pStyle w:val="Compact"/>
        <w:numPr>
          <w:ilvl w:val="0"/>
          <w:numId w:val="1002"/>
        </w:numPr>
      </w:pPr>
      <w:r>
        <w:t xml:space="preserve">Whether management reiterates or walks back full-year adjusted EBITDA growth guidance (ex-transition costs) and the "close either way" ARPU framing</w:t>
      </w:r>
    </w:p>
    <w:p>
      <w:pPr>
        <w:pStyle w:val="Compact"/>
        <w:numPr>
          <w:ilvl w:val="0"/>
          <w:numId w:val="1002"/>
        </w:numPr>
      </w:pPr>
      <w:r>
        <w:t xml:space="preserve">Any commentary on the newly launched $1,000 savings guarantee and pricing/packaging migration (~45% of residential base already migrated) gaining traction</w:t>
      </w:r>
    </w:p>
    <w:bookmarkEnd w:id="11"/>
    <w:bookmarkStart w:id="12" w:name="the-big-overhang-cox-transaction-timing"/>
    <w:p>
      <w:pPr>
        <w:pStyle w:val="Heading2"/>
      </w:pPr>
      <w:r>
        <w:t xml:space="preserve">The Big Overhang: Cox Transaction Timing</w:t>
      </w:r>
    </w:p>
    <w:p>
      <w:pPr>
        <w:pStyle w:val="FirstParagraph"/>
      </w:pPr>
      <w:r>
        <w:t xml:space="preserve">The single most important non-organic catalyst is the pending</w:t>
      </w:r>
      <w:r>
        <w:t xml:space="preserve"> </w:t>
      </w:r>
      <w:r>
        <w:rPr>
          <w:b/>
          <w:bCs/>
        </w:rPr>
        <w:t xml:space="preserve">$34.5 billion Cox Communications transaction</w:t>
      </w:r>
      <w:r>
        <w:t xml:space="preserve">, which has been treated as a near-term make-or-break regulatory event:</w:t>
      </w:r>
    </w:p>
    <w:p>
      <w:pPr>
        <w:pStyle w:val="Compact"/>
        <w:numPr>
          <w:ilvl w:val="0"/>
          <w:numId w:val="1003"/>
        </w:numPr>
      </w:pPr>
      <w:r>
        <w:t xml:space="preserve">The merger has already received approval from the federal government, as well as New York and Connecticut, leaving California as the last regulatory hurdle.</w:t>
      </w:r>
    </w:p>
    <w:p>
      <w:pPr>
        <w:pStyle w:val="Compact"/>
        <w:numPr>
          <w:ilvl w:val="0"/>
          <w:numId w:val="1003"/>
        </w:numPr>
      </w:pPr>
      <w:r>
        <w:t xml:space="preserve">As of mid-July, on July 9, 2026, the CPUC circulated two proposed decisions in proceeding A.25-07-016, both of which would allow Charter to take indirect control of Cox California Telcom, and a CPUC judge is recommending the agency approve Charter's $34.5 billion acquisition of Cox Communications, with low-income service commitments beyond what the companies already agreed to.</w:t>
      </w:r>
    </w:p>
    <w:p>
      <w:pPr>
        <w:pStyle w:val="Compact"/>
        <w:numPr>
          <w:ilvl w:val="0"/>
          <w:numId w:val="1003"/>
        </w:numPr>
      </w:pPr>
      <w:r>
        <w:t xml:space="preserve">Approval of the deal will be on the CPUC's agenda for its Aug. 13 meeting — meaning</w:t>
      </w:r>
      <w:r>
        <w:t xml:space="preserve"> </w:t>
      </w:r>
      <w:r>
        <w:rPr>
          <w:b/>
          <w:bCs/>
        </w:rPr>
        <w:t xml:space="preserve">a final vote will come roughly three weeks after this earnings call</w:t>
      </w:r>
      <w:r>
        <w:t xml:space="preserve">, not before it.</w:t>
      </w:r>
    </w:p>
    <w:p>
      <w:pPr>
        <w:pStyle w:val="Compact"/>
        <w:numPr>
          <w:ilvl w:val="0"/>
          <w:numId w:val="1003"/>
        </w:numPr>
      </w:pPr>
      <w:r>
        <w:t xml:space="preserve">The urgency stems from a hard deadline: federal merger clearance expires Sept. 15, 2026 if state review lags, per DOJ's Hart-Scott-Rodino Act clearance, and failure to meet that deadline could compel Charter to have to resubmit a new federal filing for an antitrust review, adding cost and delay.</w:t>
      </w:r>
    </w:p>
    <w:p>
      <w:pPr>
        <w:pStyle w:val="FirstParagraph"/>
      </w:pPr>
      <w:r>
        <w:t xml:space="preserve">Expect the call to feature an update on this timeline, expected synergies (management raised its estimate to $800 million in savings through economies of scale, technology consolidation and network operations optimization, according to CFO Jessica Fischer), and reporting-methodology guidance for the pro forma combined entity once it closes. The Liberty Broadband merger is contractually linked to close immediately prior to Cox closing, so any CPUC delay affects both transactions simultaneously.</w:t>
      </w:r>
    </w:p>
    <w:bookmarkEnd w:id="12"/>
    <w:bookmarkStart w:id="13" w:name="capital-allocation--balance-sheet"/>
    <w:p>
      <w:pPr>
        <w:pStyle w:val="Heading2"/>
      </w:pPr>
      <w:r>
        <w:t xml:space="preserve">Capital Allocation &amp; Balance Sheet</w:t>
      </w:r>
    </w:p>
    <w:p>
      <w:pPr>
        <w:pStyle w:val="FirstParagraph"/>
      </w:pPr>
      <w:r>
        <w:t xml:space="preserve">Charter remains committed to buybacks even amid the stock's collapse — it repurchased $963 million of stock in Q1 alone at an average price of</w:t>
      </w:r>
      <w:r>
        <w:t xml:space="preserve"> </w:t>
      </w:r>
      <m:oMath>
        <m:r>
          <m:t>225</m:t>
        </m:r>
        <m:r>
          <m:rPr>
            <m:sty m:val="p"/>
          </m:rPr>
          <m:t>(</m:t>
        </m:r>
        <m:r>
          <m:t>w</m:t>
        </m:r>
        <m:r>
          <m:t>e</m:t>
        </m:r>
        <m:r>
          <m:t>l</m:t>
        </m:r>
        <m:r>
          <m:t>l</m:t>
        </m:r>
        <m:r>
          <m:t>a</m:t>
        </m:r>
        <m:r>
          <m:t>b</m:t>
        </m:r>
        <m:r>
          <m:t>o</m:t>
        </m:r>
        <m:r>
          <m:t>v</m:t>
        </m:r>
        <m:r>
          <m:t>e</m:t>
        </m:r>
        <m:r>
          <m:t>t</m:t>
        </m:r>
        <m:r>
          <m:t>h</m:t>
        </m:r>
        <m:r>
          <m:t>e</m:t>
        </m:r>
        <m:r>
          <m:t>c</m:t>
        </m:r>
        <m:r>
          <m:t>u</m:t>
        </m:r>
        <m:r>
          <m:t>r</m:t>
        </m:r>
        <m:r>
          <m:t>r</m:t>
        </m:r>
        <m:r>
          <m:t>e</m:t>
        </m:r>
        <m:r>
          <m:t>n</m:t>
        </m:r>
        <m:r>
          <m:t>t</m:t>
        </m:r>
        <m:r>
          <m:t> </m:t>
        </m:r>
      </m:oMath>
      <w:r>
        <w:t xml:space="preserve">127 price), and leverage stood at 4.15x net-debt-to-EBITDA (4.22x pro forma for Liberty). Management has guided to staying at or slightly under 4.25x during the Cox pendency, then delevering to the low end of a 3.5x–3.75x target within three years post-close. Full-year 2026 capex guidance remains ~</w:t>
      </w:r>
      <m:oMath>
        <m:r>
          <m:t>11.4</m:t>
        </m:r>
        <m:r>
          <m:t>b</m:t>
        </m:r>
        <m:r>
          <m:t>i</m:t>
        </m:r>
        <m:r>
          <m:t>l</m:t>
        </m:r>
        <m:r>
          <m:t>l</m:t>
        </m:r>
        <m:r>
          <m:t>i</m:t>
        </m:r>
        <m:r>
          <m:t>o</m:t>
        </m:r>
        <m:r>
          <m:t>n</m:t>
        </m:r>
        <m:r>
          <m:rPr>
            <m:sty m:val="p"/>
          </m:rPr>
          <m:t>,</m:t>
        </m:r>
        <m:r>
          <m:t>w</m:t>
        </m:r>
        <m:r>
          <m:t>i</m:t>
        </m:r>
        <m:r>
          <m:t>t</m:t>
        </m:r>
        <m:r>
          <m:t>h</m:t>
        </m:r>
        <m:r>
          <m:t>m</m:t>
        </m:r>
        <m:r>
          <m:t>a</m:t>
        </m:r>
        <m:r>
          <m:t>n</m:t>
        </m:r>
        <m:r>
          <m:t>a</m:t>
        </m:r>
        <m:r>
          <m:t>g</m:t>
        </m:r>
        <m:r>
          <m:t>e</m:t>
        </m:r>
        <m:r>
          <m:t>m</m:t>
        </m:r>
        <m:r>
          <m:t>e</m:t>
        </m:r>
        <m:r>
          <m:t>n</m:t>
        </m:r>
        <m:r>
          <m:t>t</m:t>
        </m:r>
        <m:r>
          <m:t>a</m:t>
        </m:r>
        <m:r>
          <m:t>r</m:t>
        </m:r>
        <m:r>
          <m:t>g</m:t>
        </m:r>
        <m:r>
          <m:t>u</m:t>
        </m:r>
        <m:r>
          <m:t>i</m:t>
        </m:r>
        <m:r>
          <m:t>n</m:t>
        </m:r>
        <m:r>
          <m:t>g</m:t>
        </m:r>
        <m:r>
          <m:t>t</m:t>
        </m:r>
        <m:r>
          <m:t>h</m:t>
        </m:r>
        <m:r>
          <m:t>a</m:t>
        </m:r>
        <m:r>
          <m:t>t</m:t>
        </m:r>
        <m:r>
          <m:t>a</m:t>
        </m:r>
        <m:r>
          <m:t>s</m:t>
        </m:r>
        <m:r>
          <m:t>t</m:t>
        </m:r>
        <m:r>
          <m:t>e</m:t>
        </m:r>
        <m:r>
          <m:t>p</m:t>
        </m:r>
        <m:r>
          <m:rPr>
            <m:sty m:val="p"/>
          </m:rPr>
          <m:t>−</m:t>
        </m:r>
        <m:r>
          <m:t>d</m:t>
        </m:r>
        <m:r>
          <m:t>o</m:t>
        </m:r>
        <m:r>
          <m:t>w</m:t>
        </m:r>
        <m:r>
          <m:t>n</m:t>
        </m:r>
        <m:r>
          <m:t>t</m:t>
        </m:r>
        <m:r>
          <m:t>o</m:t>
        </m:r>
        <m:r>
          <m:t>a</m:t>
        </m:r>
        <m:r>
          <m:t>s</m:t>
        </m:r>
        <m:r>
          <m:t>u</m:t>
        </m:r>
        <m:r>
          <m:t>b</m:t>
        </m:r>
        <m:r>
          <m:rPr>
            <m:sty m:val="p"/>
          </m:rPr>
          <m:t>−</m:t>
        </m:r>
      </m:oMath>
      <w:r>
        <w:t xml:space="preserve">8 billion run rate by 2028 implies a substantial free-cash-flow inflection — a bull case that will likely resurface on tomorrow's call regardless of near-term subscriber softness.</w:t>
      </w:r>
    </w:p>
    <w:bookmarkEnd w:id="13"/>
    <w:bookmarkStart w:id="14" w:name="Xc09e22f84131b03d7a22c84a606b3f5359fd8a5"/>
    <w:p>
      <w:pPr>
        <w:pStyle w:val="Heading2"/>
      </w:pPr>
      <w:r>
        <w:t xml:space="preserve">Wildcards: Starlink Partnership Talk and Comcast M&amp;A Speculation</w:t>
      </w:r>
    </w:p>
    <w:p>
      <w:pPr>
        <w:pStyle w:val="FirstParagraph"/>
      </w:pPr>
      <w:r>
        <w:t xml:space="preserve">Two speculative storylines have driven outsized stock moves in recent weeks and could come up in Q&amp;A:</w:t>
      </w:r>
    </w:p>
    <w:p>
      <w:pPr>
        <w:pStyle w:val="Compact"/>
        <w:numPr>
          <w:ilvl w:val="0"/>
          <w:numId w:val="1004"/>
        </w:numPr>
      </w:pPr>
      <w:r>
        <w:rPr>
          <w:b/>
          <w:bCs/>
        </w:rPr>
        <w:t xml:space="preserve">SpaceX partnership talks:</w:t>
      </w:r>
      <w:r>
        <w:t xml:space="preserve"> </w:t>
      </w:r>
      <w:r>
        <w:t xml:space="preserve">Bloomberg reported Charter is in talks with SpaceX to launch a satellite-powered consumer phone service using Starlink, sending shares up over 9%, with the potential hybrid network combining Charter's terrestrial infrastructure with SpaceX's satellite coverage, targeting underserved areas. This news drove a single-day stock surge of as much as 15–24% in late June, underscoring how starved the market is for a positive Charter catalyst.</w:t>
      </w:r>
    </w:p>
    <w:p>
      <w:pPr>
        <w:pStyle w:val="Compact"/>
        <w:numPr>
          <w:ilvl w:val="0"/>
          <w:numId w:val="1004"/>
        </w:numPr>
      </w:pPr>
      <w:r>
        <w:rPr>
          <w:b/>
          <w:bCs/>
        </w:rPr>
        <w:t xml:space="preserve">Comcast breakup speculation:</w:t>
      </w:r>
      <w:r>
        <w:t xml:space="preserve"> </w:t>
      </w:r>
      <w:r>
        <w:t xml:space="preserve">Comcast's plan to spin off NBCUniversal and Sky could pave the way for M&amp;A across both the connectivity and media businesses, with investors reportedly betting on Comcast eventually pursuing Charter post-split.</w:t>
      </w:r>
    </w:p>
    <w:p>
      <w:pPr>
        <w:pStyle w:val="FirstParagraph"/>
      </w:pPr>
      <w:r>
        <w:t xml:space="preserve">Neither is likely to be substantively addressed with specifics tomorrow, but management's tone on competitive coexistence with satellite/LEO players versus outright threat will be closely parsed.</w:t>
      </w:r>
    </w:p>
    <w:bookmarkEnd w:id="14"/>
    <w:bookmarkStart w:id="15" w:name="analyst-positioning-is-split"/>
    <w:p>
      <w:pPr>
        <w:pStyle w:val="Heading2"/>
      </w:pPr>
      <w:r>
        <w:t xml:space="preserve">Analyst Positioning Is Split</w:t>
      </w:r>
    </w:p>
    <w:p>
      <w:pPr>
        <w:pStyle w:val="FirstParagraph"/>
      </w:pPr>
      <w:r>
        <w:t xml:space="preserve">The Street is broadly divided: analysts remain neutral on CHTR, with the stock carrying a "Hold" consensus rating — among 25 analysts, seven rate it "Strong Buy," 13 recommend "Hold," and five suggest "Strong Sell," with an average price target of $242.89 implying potential upside of 73.7% from current levels. At the bullish extreme, Benchmark's Matthew Harrigan maintained a Buy rating and reiterated his price target of $380, representing 197% upside, arguing there is an increasing disconnect between even the lowest analyst estimates throughout the remaining decade and the stock's valuation. Notably, insiders have been buyers into the weakness: CEO Chris Winfrey and several directors purchased shares in late April, shortly after the post-Q1 crash.</w:t>
      </w:r>
    </w:p>
    <w:bookmarkEnd w:id="15"/>
    <w:bookmarkStart w:id="16" w:name="bottom-line-for-investors"/>
    <w:p>
      <w:pPr>
        <w:pStyle w:val="Heading2"/>
      </w:pPr>
      <w:r>
        <w:t xml:space="preserve">Bottom Line for Investors</w:t>
      </w:r>
    </w:p>
    <w:p>
      <w:pPr>
        <w:pStyle w:val="FirstParagraph"/>
      </w:pPr>
      <w:r>
        <w:t xml:space="preserve">This is a "show-me" quarter for a stock priced for distress. The market has already discounted continued broadband subscriber erosion, decelerating mobile growth, and margin pressure — so the bar (EPS ~</w:t>
      </w:r>
      <m:oMath>
        <m:r>
          <m:t>10.00</m:t>
        </m:r>
        <m:r>
          <m:rPr>
            <m:sty m:val="p"/>
          </m:rPr>
          <m:t>–</m:t>
        </m:r>
        <m:r>
          <m:t>10.24</m:t>
        </m:r>
        <m:r>
          <m:rPr>
            <m:sty m:val="p"/>
          </m:rPr>
          <m:t>,</m:t>
        </m:r>
        <m:r>
          <m:t>r</m:t>
        </m:r>
        <m:r>
          <m:t>e</m:t>
        </m:r>
        <m:r>
          <m:t>v</m:t>
        </m:r>
        <m:r>
          <m:t>e</m:t>
        </m:r>
        <m:r>
          <m:t>n</m:t>
        </m:r>
        <m:r>
          <m:t>u</m:t>
        </m:r>
        <m:r>
          <m:t>e</m:t>
        </m:r>
        <m:r>
          <m:t> </m:t>
        </m:r>
      </m:oMath>
      <w:r>
        <w:t xml:space="preserve">13.5B, ~142K broadband losses) is low relative to a year ago. The real swing factors are less about the quarterly numbers and more about</w:t>
      </w:r>
      <w:r>
        <w:t xml:space="preserve"> </w:t>
      </w:r>
      <w:r>
        <w:rPr>
          <w:b/>
          <w:bCs/>
        </w:rPr>
        <w:t xml:space="preserve">tone and guidance</w:t>
      </w:r>
      <w:r>
        <w:t xml:space="preserve">: whether management reiterates full-year EBITDA growth and stabilizing ARPU, how confidently it discusses the Cox/CPUC timeline heading into the August 13 vote, and whether any new detail emerges on the SpaceX relationship or capital-return plans. Given four consecutive quarters of EPS misses and a deeply negative Earnings ESP heading in, investors should brace for the possibility of another volatile reaction, in either direction, given how compressed valuation and sentiment already are.</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2026-07-24T00:04:54Z</dcterms:created>
  <dcterms:modified xsi:type="dcterms:W3CDTF">2026-07-24T00:04:54Z</dcterms:modified>
</cp:coreProperties>
</file>

<file path=docProps/custom.xml><?xml version="1.0" encoding="utf-8"?>
<Properties xmlns="http://schemas.openxmlformats.org/officeDocument/2006/custom-properties" xmlns:vt="http://schemas.openxmlformats.org/officeDocument/2006/docPropsVTypes"/>
</file>