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htr-earnings-predictions--2026-07-24"/>
    <w:p>
      <w:pPr>
        <w:pStyle w:val="Heading1"/>
      </w:pPr>
      <w:r>
        <w:t xml:space="preserve">CHTR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Internet net additions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~-152K vs. cons -142K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~$5.61B vs. cons $5.58B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~$1.06B vs. cons $1.13B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growth excluding Cox transition costs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~+0.2% vs. cons +0.5%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~$11.4B vs. cons $11.4B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Cox run-rate operating expense synergies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~$0.8B vs. cons $0.8B (post-close run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-8.0%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CHTR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-11.5% (FOLLOW-THROUGH)</w:t>
            </w:r>
          </w:p>
        </w:tc>
        <w:tc>
          <w:tcPr/>
          <w:p>
            <w:pPr>
              <w:pStyle w:val="Compact"/>
            </w:pPr>
            <w:r>
              <w:t xml:space="preserve">Broadband losses worse than the -142K bogey and a marginally lower FY2026 EBITDA trajectory should drive cuts to 2026-2027 EBITDA and free-cash-flow estimates. Unchanged ~$11.4B FY2026 capex limits the near-term cash-flow offset, allowing estimate revisions to extend the initial decline.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2026-07-24T00:04:48Z</dcterms:created>
  <dcterms:modified xsi:type="dcterms:W3CDTF">2026-07-24T00:04:48Z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