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chtr-2q26-earnings-preview"/>
    <w:p>
      <w:pPr>
        <w:pStyle w:val="Heading1"/>
      </w:pPr>
      <w:r>
        <w:t xml:space="preserve">CHTR 2Q26 Earnings Preview</w:t>
      </w:r>
    </w:p>
    <w:p>
      <w:pPr>
        <w:pStyle w:val="FirstParagraph"/>
      </w:pPr>
      <w:r>
        <w:rPr>
          <w:b/>
          <w:bCs/>
        </w:rPr>
        <w:t xml:space="preserve">Report:</w:t>
      </w:r>
      <w:r>
        <w:t xml:space="preserve"> </w:t>
      </w:r>
      <w:r>
        <w:t xml:space="preserve">Friday, July 24, 2026, before the market open</w:t>
      </w:r>
      <w:r>
        <w:br/>
      </w:r>
      <w:r>
        <w:rPr>
          <w:b/>
          <w:bCs/>
        </w:rPr>
        <w:t xml:space="preserve">Conference call:</w:t>
      </w:r>
      <w:r>
        <w:t xml:space="preserve"> </w:t>
      </w:r>
      <w:r>
        <w:t xml:space="preserve">8:00 a.m. ET (</w:t>
      </w:r>
      <w:hyperlink r:id="rId9">
        <w:r>
          <w:rPr>
            <w:rStyle w:val="Hyperlink"/>
          </w:rPr>
          <w:t xml:space="preserve">ir.charter.com</w:t>
        </w:r>
      </w:hyperlink>
      <w:r>
        <w:t xml:space="preserve">)</w:t>
      </w:r>
    </w:p>
    <w:bookmarkStart w:id="10" w:name="bottom-line"/>
    <w:p>
      <w:pPr>
        <w:pStyle w:val="Heading2"/>
      </w:pPr>
      <w:r>
        <w:t xml:space="preserve">Bottom line</w:t>
      </w:r>
    </w:p>
    <w:p>
      <w:pPr>
        <w:pStyle w:val="FirstParagraph"/>
      </w:pPr>
      <w:r>
        <w:t xml:space="preserve">Charter enters the quarter with expectations—and its share price—already severely compressed. The stock closed July 23 at</w:t>
      </w:r>
      <w:r>
        <w:t xml:space="preserve"> </w:t>
      </w:r>
      <w:r>
        <w:rPr>
          <w:b/>
          <w:bCs/>
        </w:rPr>
        <w:t xml:space="preserve">$126.53</w:t>
      </w:r>
      <w:r>
        <w:t xml:space="preserve">, down approximately</w:t>
      </w:r>
      <w:r>
        <w:t xml:space="preserve"> </w:t>
      </w:r>
      <w:r>
        <w:rPr>
          <w:b/>
          <w:bCs/>
        </w:rPr>
        <w:t xml:space="preserve">40% year to date</w:t>
      </w:r>
      <w:r>
        <w:t xml:space="preserve"> </w:t>
      </w:r>
      <w:r>
        <w:t xml:space="preserve">and</w:t>
      </w:r>
      <w:r>
        <w:t xml:space="preserve"> </w:t>
      </w:r>
      <w:r>
        <w:rPr>
          <w:b/>
          <w:bCs/>
        </w:rPr>
        <w:t xml:space="preserve">48% since the day before its first-quarter report</w:t>
      </w:r>
      <w:r>
        <w:t xml:space="preserve">.</w:t>
      </w:r>
    </w:p>
    <w:p>
      <w:pPr>
        <w:pStyle w:val="BodyText"/>
      </w:pPr>
      <w:r>
        <w:t xml:space="preserve">That makes the setup potentially asymmetric, but not necessarily low-risk. The market is questioning whether Charter’s broadband losses are cyclical and fixable or evidence of permanent share erosion from fiber, fixed wireless and satellite competition. Meanwhile, roughly</w:t>
      </w:r>
      <w:r>
        <w:t xml:space="preserve"> </w:t>
      </w:r>
      <w:r>
        <w:rPr>
          <w:b/>
          <w:bCs/>
        </w:rPr>
        <w:t xml:space="preserve">$94 billion of debt</w:t>
      </w:r>
      <w:r>
        <w:t xml:space="preserve">, elevated capital spending and the pending Cox transaction magnify the equity consequences of relatively small changes in EBITDA and free cash flow.</w:t>
      </w:r>
    </w:p>
    <w:p>
      <w:pPr>
        <w:pStyle w:val="BodyText"/>
      </w:pPr>
      <w:r>
        <w:t xml:space="preserve">The most important number tomorrow is therefore</w:t>
      </w:r>
      <w:r>
        <w:t xml:space="preserve"> </w:t>
      </w:r>
      <w:r>
        <w:rPr>
          <w:b/>
          <w:bCs/>
        </w:rPr>
        <w:t xml:space="preserve">broadband net additions</w:t>
      </w:r>
      <w:r>
        <w:t xml:space="preserve">, followed by management’s full-year EBITDA outlook and its explanation of gross-add trends. A conventional EPS beat will matter much less.</w:t>
      </w:r>
    </w:p>
    <w:bookmarkEnd w:id="10"/>
    <w:bookmarkStart w:id="12" w:name="expectations"/>
    <w:p>
      <w:pPr>
        <w:pStyle w:val="Heading2"/>
      </w:pPr>
      <w:r>
        <w:t xml:space="preserve">Expectations</w:t>
      </w:r>
    </w:p>
    <w:p>
      <w:pPr>
        <w:pStyle w:val="FirstParagraph"/>
      </w:pPr>
      <w:r>
        <w:t xml:space="preserve">Approximate consensus compiled ahead of the report: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2Q26 expectation</w:t>
            </w:r>
          </w:p>
        </w:tc>
        <w:tc>
          <w:tcPr/>
          <w:p>
            <w:pPr>
              <w:pStyle w:val="Compact"/>
              <w:jc w:val="right"/>
            </w:pPr>
            <w:r>
              <w:t xml:space="preserve">Relevant comparison</w:t>
            </w:r>
          </w:p>
        </w:tc>
      </w:tr>
      <w:tr>
        <w:tc>
          <w:tcPr/>
          <w:p>
            <w:pPr>
              <w:pStyle w:val="Compact"/>
            </w:pPr>
            <w:r>
              <w:t xml:space="preserve">Revenue</w:t>
            </w:r>
          </w:p>
        </w:tc>
        <w:tc>
          <w:tcPr/>
          <w:p>
            <w:pPr>
              <w:pStyle w:val="Compact"/>
              <w:jc w:val="right"/>
            </w:pPr>
            <w:r>
              <w:rPr>
                <w:b/>
                <w:bCs/>
              </w:rPr>
              <w:t xml:space="preserve">~$13.5B</w:t>
            </w:r>
          </w:p>
        </w:tc>
        <w:tc>
          <w:tcPr/>
          <w:p>
            <w:pPr>
              <w:pStyle w:val="Compact"/>
              <w:jc w:val="right"/>
            </w:pPr>
            <w:r>
              <w:t xml:space="preserve">$13.77B in 2Q25</w:t>
            </w:r>
          </w:p>
        </w:tc>
      </w:tr>
      <w:tr>
        <w:tc>
          <w:tcPr/>
          <w:p>
            <w:pPr>
              <w:pStyle w:val="Compact"/>
            </w:pPr>
            <w:r>
              <w:t xml:space="preserve">Adjusted EBITDA</w:t>
            </w:r>
          </w:p>
        </w:tc>
        <w:tc>
          <w:tcPr/>
          <w:p>
            <w:pPr>
              <w:pStyle w:val="Compact"/>
              <w:jc w:val="right"/>
            </w:pPr>
            <w:r>
              <w:rPr>
                <w:b/>
                <w:bCs/>
              </w:rPr>
              <w:t xml:space="preserve">~$5.58B</w:t>
            </w:r>
          </w:p>
        </w:tc>
        <w:tc>
          <w:tcPr/>
          <w:p>
            <w:pPr>
              <w:pStyle w:val="Compact"/>
              <w:jc w:val="right"/>
            </w:pPr>
            <w:r>
              <w:t xml:space="preserve">$5.69B in 2Q25</w:t>
            </w:r>
          </w:p>
        </w:tc>
      </w:tr>
      <w:tr>
        <w:tc>
          <w:tcPr/>
          <w:p>
            <w:pPr>
              <w:pStyle w:val="Compact"/>
            </w:pPr>
            <w:r>
              <w:t xml:space="preserve">Free cash flow</w:t>
            </w:r>
          </w:p>
        </w:tc>
        <w:tc>
          <w:tcPr/>
          <w:p>
            <w:pPr>
              <w:pStyle w:val="Compact"/>
              <w:jc w:val="right"/>
            </w:pPr>
            <w:r>
              <w:rPr>
                <w:b/>
                <w:bCs/>
              </w:rPr>
              <w:t xml:space="preserve">~$1.13B</w:t>
            </w:r>
          </w:p>
        </w:tc>
        <w:tc>
          <w:tcPr/>
          <w:p>
            <w:pPr>
              <w:pStyle w:val="Compact"/>
              <w:jc w:val="right"/>
            </w:pPr>
            <w:r>
              <w:t xml:space="preserve">$1.05B in 2Q25</w:t>
            </w:r>
          </w:p>
        </w:tc>
      </w:tr>
      <w:tr>
        <w:tc>
          <w:tcPr/>
          <w:p>
            <w:pPr>
              <w:pStyle w:val="Compact"/>
            </w:pPr>
            <w:r>
              <w:t xml:space="preserve">Residential Internet net adds</w:t>
            </w:r>
          </w:p>
        </w:tc>
        <w:tc>
          <w:tcPr/>
          <w:p>
            <w:pPr>
              <w:pStyle w:val="Compact"/>
              <w:jc w:val="right"/>
            </w:pPr>
            <w:r>
              <w:rPr>
                <w:b/>
                <w:bCs/>
              </w:rPr>
              <w:t xml:space="preserve">~(142K)</w:t>
            </w:r>
          </w:p>
        </w:tc>
        <w:tc>
          <w:tcPr/>
          <w:p>
            <w:pPr>
              <w:pStyle w:val="Compact"/>
              <w:jc w:val="right"/>
            </w:pPr>
            <w:r>
              <w:t xml:space="preserve">(117K) in 1Q26; (111K) in 2Q25</w:t>
            </w:r>
          </w:p>
        </w:tc>
      </w:tr>
      <w:tr>
        <w:tc>
          <w:tcPr/>
          <w:p>
            <w:pPr>
              <w:pStyle w:val="Compact"/>
            </w:pPr>
            <w:r>
              <w:t xml:space="preserve">Mobile line net adds</w:t>
            </w:r>
          </w:p>
        </w:tc>
        <w:tc>
          <w:tcPr/>
          <w:p>
            <w:pPr>
              <w:pStyle w:val="Compact"/>
              <w:jc w:val="right"/>
            </w:pPr>
            <w:r>
              <w:rPr>
                <w:b/>
                <w:bCs/>
              </w:rPr>
              <w:t xml:space="preserve">~380K</w:t>
            </w:r>
          </w:p>
        </w:tc>
        <w:tc>
          <w:tcPr/>
          <w:p>
            <w:pPr>
              <w:pStyle w:val="Compact"/>
              <w:jc w:val="right"/>
            </w:pPr>
            <w:r>
              <w:t xml:space="preserve">368K in 1Q26; 500K in 2Q25</w:t>
            </w:r>
          </w:p>
        </w:tc>
      </w:tr>
      <w:tr>
        <w:tc>
          <w:tcPr/>
          <w:p>
            <w:pPr>
              <w:pStyle w:val="Compact"/>
            </w:pPr>
            <w:r>
              <w:t xml:space="preserve">Video net adds</w:t>
            </w:r>
          </w:p>
        </w:tc>
        <w:tc>
          <w:tcPr/>
          <w:p>
            <w:pPr>
              <w:pStyle w:val="Compact"/>
              <w:jc w:val="right"/>
            </w:pPr>
            <w:r>
              <w:rPr>
                <w:b/>
                <w:bCs/>
              </w:rPr>
              <w:t xml:space="preserve">~(54K)</w:t>
            </w:r>
          </w:p>
        </w:tc>
        <w:tc>
          <w:tcPr/>
          <w:p>
            <w:pPr>
              <w:pStyle w:val="Compact"/>
              <w:jc w:val="right"/>
            </w:pPr>
            <w:r>
              <w:t xml:space="preserve">(60K) in 1Q26; (80K) in 2Q25</w:t>
            </w:r>
          </w:p>
        </w:tc>
      </w:tr>
    </w:tbl>
    <w:p>
      <w:pPr>
        <w:pStyle w:val="BodyText"/>
      </w:pPr>
      <w:r>
        <w:t xml:space="preserve">Charter’s official investor site contains the historical quarterly materials used for the comparisons. (</w:t>
      </w:r>
      <w:hyperlink r:id="rId11">
        <w:r>
          <w:rPr>
            <w:rStyle w:val="Hyperlink"/>
          </w:rPr>
          <w:t xml:space="preserve">ir.charter.com</w:t>
        </w:r>
      </w:hyperlink>
      <w:r>
        <w:t xml:space="preserve">)</w:t>
      </w:r>
    </w:p>
    <w:p>
      <w:r>
        <w:pict>
          <v:rect style="width:0;height:1.5pt" o:hralign="center" o:hrstd="t" o:hr="t"/>
        </w:pict>
      </w:r>
    </w:p>
    <w:bookmarkEnd w:id="12"/>
    <w:bookmarkStart w:id="14" w:name="Xbafe2e5c3f089bceed4a6c2da06222ba43debd6"/>
    <w:p>
      <w:pPr>
        <w:pStyle w:val="Heading2"/>
      </w:pPr>
      <w:r>
        <w:t xml:space="preserve">1. Broadband: gross additions are the key swing factor</w:t>
      </w:r>
    </w:p>
    <w:p>
      <w:pPr>
        <w:pStyle w:val="FirstParagraph"/>
      </w:pPr>
      <w:r>
        <w:t xml:space="preserve">Charter lost</w:t>
      </w:r>
      <w:r>
        <w:t xml:space="preserve"> </w:t>
      </w:r>
      <w:r>
        <w:rPr>
          <w:b/>
          <w:bCs/>
        </w:rPr>
        <w:t xml:space="preserve">120,000 total Internet customers in 1Q26</w:t>
      </w:r>
      <w:r>
        <w:t xml:space="preserve">, including 117,000 residential customers. Management attributed the weakness primarily to lower gross additions rather than worsening churn:</w:t>
      </w:r>
    </w:p>
    <w:p>
      <w:pPr>
        <w:pStyle w:val="Compact"/>
        <w:numPr>
          <w:ilvl w:val="0"/>
          <w:numId w:val="1001"/>
        </w:numPr>
      </w:pPr>
      <w:r>
        <w:t xml:space="preserve">Fiber overlap continued to expand.</w:t>
      </w:r>
    </w:p>
    <w:p>
      <w:pPr>
        <w:pStyle w:val="Compact"/>
        <w:numPr>
          <w:ilvl w:val="0"/>
          <w:numId w:val="1001"/>
        </w:numPr>
      </w:pPr>
      <w:r>
        <w:t xml:space="preserve">Fixed-wireless availability increased.</w:t>
      </w:r>
    </w:p>
    <w:p>
      <w:pPr>
        <w:pStyle w:val="Compact"/>
        <w:numPr>
          <w:ilvl w:val="0"/>
          <w:numId w:val="1001"/>
        </w:numPr>
      </w:pPr>
      <w:r>
        <w:t xml:space="preserve">Mobile-only substitution remained a headwind.</w:t>
      </w:r>
    </w:p>
    <w:p>
      <w:pPr>
        <w:pStyle w:val="Compact"/>
        <w:numPr>
          <w:ilvl w:val="0"/>
          <w:numId w:val="1001"/>
        </w:numPr>
      </w:pPr>
      <w:r>
        <w:t xml:space="preserve">Housing turnover stayed muted.</w:t>
      </w:r>
    </w:p>
    <w:p>
      <w:pPr>
        <w:pStyle w:val="Compact"/>
        <w:numPr>
          <w:ilvl w:val="0"/>
          <w:numId w:val="1001"/>
        </w:numPr>
      </w:pPr>
      <w:r>
        <w:t xml:space="preserve">Charter underperformed particularly in the low-income acquisition segment.</w:t>
      </w:r>
    </w:p>
    <w:p>
      <w:pPr>
        <w:pStyle w:val="Compact"/>
        <w:numPr>
          <w:ilvl w:val="0"/>
          <w:numId w:val="1001"/>
        </w:numPr>
      </w:pPr>
      <w:r>
        <w:t xml:space="preserve">Churn nevertheless remained near historically low levels.</w:t>
      </w:r>
    </w:p>
    <w:p>
      <w:pPr>
        <w:pStyle w:val="FirstParagraph"/>
      </w:pPr>
      <w:r>
        <w:t xml:space="preserve">This distinction is central to the investment debate.</w:t>
      </w:r>
      <w:r>
        <w:t xml:space="preserve"> </w:t>
      </w:r>
      <w:r>
        <w:rPr>
          <w:b/>
          <w:bCs/>
        </w:rPr>
        <w:t xml:space="preserve">Weak gross adds with stable churn could plausibly improve through better marketing, offers and housing activity. Accelerating churn would suggest a more structural problem with Charter’s network, pricing or brand.</w:t>
      </w:r>
    </w:p>
    <w:bookmarkStart w:id="13" w:name="what-investors-should-listen-for"/>
    <w:p>
      <w:pPr>
        <w:pStyle w:val="Heading3"/>
      </w:pPr>
      <w:r>
        <w:t xml:space="preserve">What investors should listen for</w:t>
      </w:r>
    </w:p>
    <w:p>
      <w:pPr>
        <w:pStyle w:val="Compact"/>
        <w:numPr>
          <w:ilvl w:val="0"/>
          <w:numId w:val="1002"/>
        </w:numPr>
      </w:pPr>
      <w:r>
        <w:t xml:space="preserve">Did residential broadband losses come in better or worse than the roughly</w:t>
      </w:r>
      <w:r>
        <w:t xml:space="preserve"> </w:t>
      </w:r>
      <w:r>
        <w:rPr>
          <w:b/>
          <w:bCs/>
        </w:rPr>
        <w:t xml:space="preserve">140,000-loss bogey</w:t>
      </w:r>
      <w:r>
        <w:t xml:space="preserve">?</w:t>
      </w:r>
    </w:p>
    <w:p>
      <w:pPr>
        <w:pStyle w:val="Compact"/>
        <w:numPr>
          <w:ilvl w:val="0"/>
          <w:numId w:val="1002"/>
        </w:numPr>
      </w:pPr>
      <w:r>
        <w:t xml:space="preserve">Did gross additions improve sequentially during the quarter?</w:t>
      </w:r>
    </w:p>
    <w:p>
      <w:pPr>
        <w:pStyle w:val="Compact"/>
        <w:numPr>
          <w:ilvl w:val="0"/>
          <w:numId w:val="1002"/>
        </w:numPr>
      </w:pPr>
      <w:r>
        <w:t xml:space="preserve">Has Charter restored the low-income offers that management said were insufficiently available in 1Q?</w:t>
      </w:r>
    </w:p>
    <w:p>
      <w:pPr>
        <w:pStyle w:val="Compact"/>
        <w:numPr>
          <w:ilvl w:val="0"/>
          <w:numId w:val="1002"/>
        </w:numPr>
      </w:pPr>
      <w:r>
        <w:t xml:space="preserve">Is churn still at historically low levels?</w:t>
      </w:r>
    </w:p>
    <w:p>
      <w:pPr>
        <w:pStyle w:val="Compact"/>
        <w:numPr>
          <w:ilvl w:val="0"/>
          <w:numId w:val="1002"/>
        </w:numPr>
      </w:pPr>
      <w:r>
        <w:t xml:space="preserve">Has fixed-wireless competition intensified, particularly from AT&amp;T?</w:t>
      </w:r>
    </w:p>
    <w:p>
      <w:pPr>
        <w:pStyle w:val="Compact"/>
        <w:numPr>
          <w:ilvl w:val="0"/>
          <w:numId w:val="1002"/>
        </w:numPr>
      </w:pPr>
      <w:r>
        <w:t xml:space="preserve">Are upgraded symmetrical and multi-gig markets producing measurably better sales or retention?</w:t>
      </w:r>
    </w:p>
    <w:p>
      <w:pPr>
        <w:pStyle w:val="FirstParagraph"/>
      </w:pPr>
      <w:r>
        <w:t xml:space="preserve">A loss closer to 100,000 would likely be interpreted as meaningful stabilization. A result materially above 150,000—especially if accompanied by higher churn—would reinforce the bear case.</w:t>
      </w:r>
    </w:p>
    <w:bookmarkEnd w:id="13"/>
    <w:bookmarkEnd w:id="14"/>
    <w:bookmarkStart w:id="15" w:name="Xdef3c6f48722ffe5317206b6b39eb16681352db"/>
    <w:p>
      <w:pPr>
        <w:pStyle w:val="Heading2"/>
      </w:pPr>
      <w:r>
        <w:t xml:space="preserve">2. Broadband ARPU versus customer lifetime value</w:t>
      </w:r>
    </w:p>
    <w:p>
      <w:pPr>
        <w:pStyle w:val="FirstParagraph"/>
      </w:pPr>
      <w:r>
        <w:t xml:space="preserve">Management said in April that full-year Internet ARPU growth could finish slightly positive or negative, depending on promotional tuning, loyalty migrations and pricing decisions.</w:t>
      </w:r>
    </w:p>
    <w:p>
      <w:pPr>
        <w:pStyle w:val="BodyText"/>
      </w:pPr>
      <w:r>
        <w:t xml:space="preserve">Charter has been moving existing customers onto its newer pricing and packaging, often providing additional speed or mobile service for the same price or a modest increase. That can improve retention and lifetime value but pressure near-term reported ARPU.</w:t>
      </w:r>
    </w:p>
    <w:p>
      <w:pPr>
        <w:pStyle w:val="BodyText"/>
      </w:pPr>
      <w:r>
        <w:t xml:space="preserve">Investors should separate:</w:t>
      </w:r>
    </w:p>
    <w:p>
      <w:pPr>
        <w:pStyle w:val="Compact"/>
        <w:numPr>
          <w:ilvl w:val="0"/>
          <w:numId w:val="1003"/>
        </w:numPr>
      </w:pPr>
      <w:r>
        <w:rPr>
          <w:b/>
          <w:bCs/>
        </w:rPr>
        <w:t xml:space="preserve">Healthy ARPU pressure:</w:t>
      </w:r>
      <w:r>
        <w:t xml:space="preserve"> </w:t>
      </w:r>
      <w:r>
        <w:t xml:space="preserve">proactive migration to lower-churn converged packages.</w:t>
      </w:r>
    </w:p>
    <w:p>
      <w:pPr>
        <w:pStyle w:val="Compact"/>
        <w:numPr>
          <w:ilvl w:val="0"/>
          <w:numId w:val="1003"/>
        </w:numPr>
      </w:pPr>
      <w:r>
        <w:rPr>
          <w:b/>
          <w:bCs/>
        </w:rPr>
        <w:t xml:space="preserve">Unhealthy ARPU pressure:</w:t>
      </w:r>
      <w:r>
        <w:t xml:space="preserve"> </w:t>
      </w:r>
      <w:r>
        <w:t xml:space="preserve">discounting required merely to slow competitive share loss.</w:t>
      </w:r>
    </w:p>
    <w:p>
      <w:pPr>
        <w:pStyle w:val="FirstParagraph"/>
      </w:pPr>
      <w:r>
        <w:t xml:space="preserve">Any new price increase would support near-term revenue but could undermine Charter’s claim that its lower, simpler pricing is a sustainable competitive advantage.</w:t>
      </w:r>
    </w:p>
    <w:bookmarkEnd w:id="15"/>
    <w:bookmarkStart w:id="18" w:name="X60c0aadeceec35b1f58010fe9ebe7cccea3a880"/>
    <w:p>
      <w:pPr>
        <w:pStyle w:val="Heading2"/>
      </w:pPr>
      <w:r>
        <w:t xml:space="preserve">3. EBITDA guidance is the financial line in the sand</w:t>
      </w:r>
    </w:p>
    <w:p>
      <w:pPr>
        <w:pStyle w:val="FirstParagraph"/>
      </w:pPr>
      <w:r>
        <w:t xml:space="preserve">After a</w:t>
      </w:r>
      <w:r>
        <w:t xml:space="preserve"> </w:t>
      </w:r>
      <w:r>
        <w:rPr>
          <w:b/>
          <w:bCs/>
        </w:rPr>
        <w:t xml:space="preserve">2.2% reported EBITDA decline in 1Q26</w:t>
      </w:r>
      <w:r>
        <w:t xml:space="preserve">, management maintained its plan to grow full-year EBITDA slightly, excluding Cox transition expenses. Political advertising is an important part of that expected improvement.</w:t>
      </w:r>
    </w:p>
    <w:p>
      <w:pPr>
        <w:pStyle w:val="BodyText"/>
      </w:pPr>
      <w:r>
        <w:t xml:space="preserve">The second quarter has several puts and takes:</w:t>
      </w:r>
    </w:p>
    <w:bookmarkStart w:id="16" w:name="supports"/>
    <w:p>
      <w:pPr>
        <w:pStyle w:val="Heading3"/>
      </w:pPr>
      <w:r>
        <w:t xml:space="preserve">Supports</w:t>
      </w:r>
    </w:p>
    <w:p>
      <w:pPr>
        <w:pStyle w:val="Compact"/>
        <w:numPr>
          <w:ilvl w:val="0"/>
          <w:numId w:val="1004"/>
        </w:numPr>
      </w:pPr>
      <w:r>
        <w:t xml:space="preserve">Continued mobile service revenue growth.</w:t>
      </w:r>
    </w:p>
    <w:p>
      <w:pPr>
        <w:pStyle w:val="Compact"/>
        <w:numPr>
          <w:ilvl w:val="0"/>
          <w:numId w:val="1004"/>
        </w:numPr>
      </w:pPr>
      <w:r>
        <w:t xml:space="preserve">Lower programming expense as the video base shrinks.</w:t>
      </w:r>
    </w:p>
    <w:p>
      <w:pPr>
        <w:pStyle w:val="Compact"/>
        <w:numPr>
          <w:ilvl w:val="0"/>
          <w:numId w:val="1004"/>
        </w:numPr>
      </w:pPr>
      <w:r>
        <w:t xml:space="preserve">Political advertising in a midterm-election year.</w:t>
      </w:r>
    </w:p>
    <w:p>
      <w:pPr>
        <w:pStyle w:val="Compact"/>
        <w:numPr>
          <w:ilvl w:val="0"/>
          <w:numId w:val="1004"/>
        </w:numPr>
      </w:pPr>
      <w:r>
        <w:t xml:space="preserve">Lower labor and service costs if operational improvements persist.</w:t>
      </w:r>
    </w:p>
    <w:p>
      <w:pPr>
        <w:pStyle w:val="Compact"/>
        <w:numPr>
          <w:ilvl w:val="0"/>
          <w:numId w:val="1004"/>
        </w:numPr>
      </w:pPr>
      <w:r>
        <w:t xml:space="preserve">Reduced video churn.</w:t>
      </w:r>
    </w:p>
    <w:bookmarkEnd w:id="16"/>
    <w:bookmarkStart w:id="17" w:name="pressures"/>
    <w:p>
      <w:pPr>
        <w:pStyle w:val="Heading3"/>
      </w:pPr>
      <w:r>
        <w:t xml:space="preserve">Pressures</w:t>
      </w:r>
    </w:p>
    <w:p>
      <w:pPr>
        <w:pStyle w:val="Compact"/>
        <w:numPr>
          <w:ilvl w:val="0"/>
          <w:numId w:val="1005"/>
        </w:numPr>
      </w:pPr>
      <w:r>
        <w:t xml:space="preserve">Broadband and total customer losses.</w:t>
      </w:r>
    </w:p>
    <w:p>
      <w:pPr>
        <w:pStyle w:val="Compact"/>
        <w:numPr>
          <w:ilvl w:val="0"/>
          <w:numId w:val="1005"/>
        </w:numPr>
      </w:pPr>
      <w:r>
        <w:t xml:space="preserve">Higher mobile network and device costs.</w:t>
      </w:r>
    </w:p>
    <w:p>
      <w:pPr>
        <w:pStyle w:val="Compact"/>
        <w:numPr>
          <w:ilvl w:val="0"/>
          <w:numId w:val="1005"/>
        </w:numPr>
      </w:pPr>
      <w:r>
        <w:t xml:space="preserve">Competitive acquisition offers.</w:t>
      </w:r>
    </w:p>
    <w:p>
      <w:pPr>
        <w:pStyle w:val="Compact"/>
        <w:numPr>
          <w:ilvl w:val="0"/>
          <w:numId w:val="1005"/>
        </w:numPr>
      </w:pPr>
      <w:r>
        <w:t xml:space="preserve">Cox transition expenses.</w:t>
      </w:r>
    </w:p>
    <w:p>
      <w:pPr>
        <w:pStyle w:val="Compact"/>
        <w:numPr>
          <w:ilvl w:val="0"/>
          <w:numId w:val="1005"/>
        </w:numPr>
      </w:pPr>
      <w:r>
        <w:t xml:space="preserve">A difficult comparison against certain prior-year benefits.</w:t>
      </w:r>
    </w:p>
    <w:p>
      <w:pPr>
        <w:pStyle w:val="FirstParagraph"/>
      </w:pPr>
      <w:r>
        <w:t xml:space="preserve">A reported EBITDA result around consensus may be acceptable if management confidently reiterates slight full-year growth. Conversely, even a modest quarterly beat may not help if the annual outlook is softened.</w:t>
      </w:r>
    </w:p>
    <w:bookmarkEnd w:id="17"/>
    <w:bookmarkEnd w:id="18"/>
    <w:bookmarkStart w:id="19" w:name="X70ada5d312b278adb764c89ffbff7107d794771"/>
    <w:p>
      <w:pPr>
        <w:pStyle w:val="Heading2"/>
      </w:pPr>
      <w:r>
        <w:t xml:space="preserve">4. Do not overreact to reported video revenue</w:t>
      </w:r>
    </w:p>
    <w:p>
      <w:pPr>
        <w:pStyle w:val="FirstParagraph"/>
      </w:pPr>
      <w:r>
        <w:t xml:space="preserve">Charter now allocates the cost of streaming applications included with its video packages against video revenue. In 1Q26 this reduced reported revenue by</w:t>
      </w:r>
      <w:r>
        <w:t xml:space="preserve"> </w:t>
      </w:r>
      <w:r>
        <w:rPr>
          <w:b/>
          <w:bCs/>
        </w:rPr>
        <w:t xml:space="preserve">$218 million</w:t>
      </w:r>
      <w:r>
        <w:t xml:space="preserve">, versus only $47 million in 1Q25. The corresponding programming expense is also lower.</w:t>
      </w:r>
    </w:p>
    <w:p>
      <w:pPr>
        <w:pStyle w:val="BodyText"/>
      </w:pPr>
      <w:r>
        <w:t xml:space="preserve">Because 2Q25 included only</w:t>
      </w:r>
      <w:r>
        <w:t xml:space="preserve"> </w:t>
      </w:r>
      <w:r>
        <w:rPr>
          <w:b/>
          <w:bCs/>
        </w:rPr>
        <w:t xml:space="preserve">$67 million</w:t>
      </w:r>
      <w:r>
        <w:t xml:space="preserve"> </w:t>
      </w:r>
      <w:r>
        <w:t xml:space="preserve">of these allocations, the year-over-year reported revenue comparison could again look materially worse than the underlying economics.</w:t>
      </w:r>
    </w:p>
    <w:p>
      <w:pPr>
        <w:pStyle w:val="BodyText"/>
      </w:pPr>
      <w:r>
        <w:t xml:space="preserve">Investors should focus on:</w:t>
      </w:r>
    </w:p>
    <w:p>
      <w:pPr>
        <w:pStyle w:val="Compact"/>
        <w:numPr>
          <w:ilvl w:val="0"/>
          <w:numId w:val="1006"/>
        </w:numPr>
      </w:pPr>
      <w:r>
        <w:t xml:space="preserve">Revenue growth excluding streaming-app allocations.</w:t>
      </w:r>
    </w:p>
    <w:p>
      <w:pPr>
        <w:pStyle w:val="Compact"/>
        <w:numPr>
          <w:ilvl w:val="0"/>
          <w:numId w:val="1006"/>
        </w:numPr>
      </w:pPr>
      <w:r>
        <w:t xml:space="preserve">EBITDA rather than gross video revenue.</w:t>
      </w:r>
    </w:p>
    <w:p>
      <w:pPr>
        <w:pStyle w:val="Compact"/>
        <w:numPr>
          <w:ilvl w:val="0"/>
          <w:numId w:val="1006"/>
        </w:numPr>
      </w:pPr>
      <w:r>
        <w:t xml:space="preserve">Video churn and package upgrades.</w:t>
      </w:r>
    </w:p>
    <w:p>
      <w:pPr>
        <w:pStyle w:val="Compact"/>
        <w:numPr>
          <w:ilvl w:val="0"/>
          <w:numId w:val="1006"/>
        </w:numPr>
      </w:pPr>
      <w:r>
        <w:t xml:space="preserve">Streaming-app activation.</w:t>
      </w:r>
    </w:p>
    <w:p>
      <w:pPr>
        <w:pStyle w:val="Compact"/>
        <w:numPr>
          <w:ilvl w:val="0"/>
          <w:numId w:val="1006"/>
        </w:numPr>
      </w:pPr>
      <w:r>
        <w:t xml:space="preserve">Whether video improvements are lowering broadband churn.</w:t>
      </w:r>
    </w:p>
    <w:p>
      <w:pPr>
        <w:pStyle w:val="FirstParagraph"/>
      </w:pPr>
      <w:r>
        <w:t xml:space="preserve">Video has quietly become one of Charter’s better operating stories: losses have improved dramatically as the company added streaming services to traditional packages and introduced lighter, lower-cost options. The key question is whether that improvement is economically durable rather than merely the result of lower pricing.</w:t>
      </w:r>
    </w:p>
    <w:bookmarkEnd w:id="19"/>
    <w:bookmarkStart w:id="21" w:name="X5a99ed5d41e4d4d5adb3199b150f4e94ffc2d34"/>
    <w:p>
      <w:pPr>
        <w:pStyle w:val="Heading2"/>
      </w:pPr>
      <w:r>
        <w:t xml:space="preserve">5. Mobile remains the clearest growth engine—but additions are slowing</w:t>
      </w:r>
    </w:p>
    <w:p>
      <w:pPr>
        <w:pStyle w:val="FirstParagraph"/>
      </w:pPr>
      <w:r>
        <w:t xml:space="preserve">Charter ended 1Q26 with</w:t>
      </w:r>
      <w:r>
        <w:t xml:space="preserve"> </w:t>
      </w:r>
      <w:r>
        <w:rPr>
          <w:b/>
          <w:bCs/>
        </w:rPr>
        <w:t xml:space="preserve">12.1 million mobile lines</w:t>
      </w:r>
      <w:r>
        <w:t xml:space="preserve">, up 17% year over year, after adding 368,000 lines. Mobile service revenue increased 15%.</w:t>
      </w:r>
    </w:p>
    <w:p>
      <w:pPr>
        <w:pStyle w:val="BodyText"/>
      </w:pPr>
      <w:r>
        <w:t xml:space="preserve">Consensus expects roughly</w:t>
      </w:r>
      <w:r>
        <w:t xml:space="preserve"> </w:t>
      </w:r>
      <w:r>
        <w:rPr>
          <w:b/>
          <w:bCs/>
        </w:rPr>
        <w:t xml:space="preserve">380,000 additions</w:t>
      </w:r>
      <w:r>
        <w:t xml:space="preserve"> </w:t>
      </w:r>
      <w:r>
        <w:t xml:space="preserve">in 2Q. That would represent modest sequential improvement but a notable slowdown from the 500,000 lines added in 2Q25.</w:t>
      </w:r>
    </w:p>
    <w:p>
      <w:pPr>
        <w:pStyle w:val="BodyText"/>
      </w:pPr>
      <w:r>
        <w:t xml:space="preserve">The important issues extend beyond the headline additions:</w:t>
      </w:r>
    </w:p>
    <w:p>
      <w:pPr>
        <w:pStyle w:val="Compact"/>
        <w:numPr>
          <w:ilvl w:val="0"/>
          <w:numId w:val="1007"/>
        </w:numPr>
      </w:pPr>
      <w:r>
        <w:t xml:space="preserve">Mobile attach rates among new and existing broadband customers.</w:t>
      </w:r>
    </w:p>
    <w:p>
      <w:pPr>
        <w:pStyle w:val="Compact"/>
        <w:numPr>
          <w:ilvl w:val="0"/>
          <w:numId w:val="1007"/>
        </w:numPr>
      </w:pPr>
      <w:r>
        <w:t xml:space="preserve">Disconnect trends following aggressive handset subsidies from the national carriers.</w:t>
      </w:r>
    </w:p>
    <w:p>
      <w:pPr>
        <w:pStyle w:val="Compact"/>
        <w:numPr>
          <w:ilvl w:val="0"/>
          <w:numId w:val="1007"/>
        </w:numPr>
      </w:pPr>
      <w:r>
        <w:t xml:space="preserve">Mobile contribution margins as the base scales.</w:t>
      </w:r>
    </w:p>
    <w:p>
      <w:pPr>
        <w:pStyle w:val="Compact"/>
        <w:numPr>
          <w:ilvl w:val="0"/>
          <w:numId w:val="1007"/>
        </w:numPr>
      </w:pPr>
      <w:r>
        <w:t xml:space="preserve">Progress shifting traffic onto Charter-controlled Wi-Fi and CBRS infrastructure.</w:t>
      </w:r>
    </w:p>
    <w:p>
      <w:pPr>
        <w:pStyle w:val="Compact"/>
        <w:numPr>
          <w:ilvl w:val="0"/>
          <w:numId w:val="1007"/>
        </w:numPr>
      </w:pPr>
      <w:r>
        <w:t xml:space="preserve">Whether mobile is demonstrably reducing broadband churn.</w:t>
      </w:r>
    </w:p>
    <w:p>
      <w:pPr>
        <w:pStyle w:val="FirstParagraph"/>
      </w:pPr>
      <w:r>
        <w:t xml:space="preserve">There may also be questions about reported talks between Charter and SpaceX regarding a consumer mobile partnership. Bloomberg reported that Charter could carry some SpaceX phone traffic over its terrestrial infrastructure, although no agreement has been announced. (</w:t>
      </w:r>
      <w:hyperlink r:id="rId20">
        <w:r>
          <w:rPr>
            <w:rStyle w:val="Hyperlink"/>
          </w:rPr>
          <w:t xml:space="preserve">news.bloomberglaw.com</w:t>
        </w:r>
      </w:hyperlink>
      <w:r>
        <w:t xml:space="preserve">) Management commentary could help determine whether this is a meaningful wholesale opportunity, a broader strategic relationship or merely exploratory discussions.</w:t>
      </w:r>
    </w:p>
    <w:bookmarkEnd w:id="21"/>
    <w:bookmarkStart w:id="22" w:name="X12d94b7943cff68460fb83143b7fe7dbdf5d519"/>
    <w:p>
      <w:pPr>
        <w:pStyle w:val="Heading2"/>
      </w:pPr>
      <w:r>
        <w:t xml:space="preserve">6. Free cash flow and capital spending</w:t>
      </w:r>
    </w:p>
    <w:p>
      <w:pPr>
        <w:pStyle w:val="FirstParagraph"/>
      </w:pPr>
      <w:r>
        <w:t xml:space="preserve">Charter reaffirmed</w:t>
      </w:r>
      <w:r>
        <w:t xml:space="preserve"> </w:t>
      </w:r>
      <w:r>
        <w:rPr>
          <w:b/>
          <w:bCs/>
        </w:rPr>
        <w:t xml:space="preserve">approximately $11.4 billion of 2026 capital expenditures</w:t>
      </w:r>
      <w:r>
        <w:t xml:space="preserve"> </w:t>
      </w:r>
      <w:r>
        <w:t xml:space="preserve">after spending $2.86 billion in the first quarter. Spending is elevated by:</w:t>
      </w:r>
    </w:p>
    <w:p>
      <w:pPr>
        <w:pStyle w:val="Compact"/>
        <w:numPr>
          <w:ilvl w:val="0"/>
          <w:numId w:val="1008"/>
        </w:numPr>
      </w:pPr>
      <w:r>
        <w:t xml:space="preserve">Network evolution.</w:t>
      </w:r>
    </w:p>
    <w:p>
      <w:pPr>
        <w:pStyle w:val="Compact"/>
        <w:numPr>
          <w:ilvl w:val="0"/>
          <w:numId w:val="1008"/>
        </w:numPr>
      </w:pPr>
      <w:r>
        <w:t xml:space="preserve">Rural construction.</w:t>
      </w:r>
    </w:p>
    <w:p>
      <w:pPr>
        <w:pStyle w:val="Compact"/>
        <w:numPr>
          <w:ilvl w:val="0"/>
          <w:numId w:val="1008"/>
        </w:numPr>
      </w:pPr>
      <w:r>
        <w:t xml:space="preserve">Customer equipment, including new Wi-Fi 7 products.</w:t>
      </w:r>
    </w:p>
    <w:p>
      <w:pPr>
        <w:pStyle w:val="Compact"/>
        <w:numPr>
          <w:ilvl w:val="0"/>
          <w:numId w:val="1008"/>
        </w:numPr>
      </w:pPr>
      <w:r>
        <w:t xml:space="preserve">Line extensions.</w:t>
      </w:r>
    </w:p>
    <w:p>
      <w:pPr>
        <w:pStyle w:val="FirstParagraph"/>
      </w:pPr>
      <w:r>
        <w:t xml:space="preserve">Management’s longer-term claim is that annual capital spending should decline to</w:t>
      </w:r>
      <w:r>
        <w:t xml:space="preserve"> </w:t>
      </w:r>
      <w:r>
        <w:rPr>
          <w:b/>
          <w:bCs/>
        </w:rPr>
        <w:t xml:space="preserve">below $8 billion by 2028</w:t>
      </w:r>
      <w:r>
        <w:t xml:space="preserve"> </w:t>
      </w:r>
      <w:r>
        <w:t xml:space="preserve">as the upgrade and expansion programs mature. That potential reduction is a major part of the valuation case.</w:t>
      </w:r>
    </w:p>
    <w:p>
      <w:pPr>
        <w:pStyle w:val="BodyText"/>
      </w:pPr>
      <w:r>
        <w:t xml:space="preserve">Quarterly free cash flow can be noisy because of cash-interest, tax, device-working-capital and accrued-capex timing. More important tomorrow will be:</w:t>
      </w:r>
    </w:p>
    <w:p>
      <w:pPr>
        <w:pStyle w:val="Compact"/>
        <w:numPr>
          <w:ilvl w:val="0"/>
          <w:numId w:val="1009"/>
        </w:numPr>
      </w:pPr>
      <w:r>
        <w:t xml:space="preserve">Whether the $11.4 billion capex forecast is maintained.</w:t>
      </w:r>
    </w:p>
    <w:p>
      <w:pPr>
        <w:pStyle w:val="Compact"/>
        <w:numPr>
          <w:ilvl w:val="0"/>
          <w:numId w:val="1009"/>
        </w:numPr>
      </w:pPr>
      <w:r>
        <w:t xml:space="preserve">Whether network evolution remains on schedule for 2027 completion.</w:t>
      </w:r>
    </w:p>
    <w:p>
      <w:pPr>
        <w:pStyle w:val="Compact"/>
        <w:numPr>
          <w:ilvl w:val="0"/>
          <w:numId w:val="1009"/>
        </w:numPr>
      </w:pPr>
      <w:r>
        <w:t xml:space="preserve">Whether management still expects a meaningful capex decline after 2026.</w:t>
      </w:r>
    </w:p>
    <w:p>
      <w:pPr>
        <w:pStyle w:val="Compact"/>
        <w:numPr>
          <w:ilvl w:val="0"/>
          <w:numId w:val="1009"/>
        </w:numPr>
      </w:pPr>
      <w:r>
        <w:t xml:space="preserve">Whether Cox integration spending changes the standalone cash-flow outlook.</w:t>
      </w:r>
    </w:p>
    <w:bookmarkEnd w:id="22"/>
    <w:bookmarkStart w:id="24" w:name="X00f95b9a3c21ec6745294e9e29d124a92d7ebee"/>
    <w:p>
      <w:pPr>
        <w:pStyle w:val="Heading2"/>
      </w:pPr>
      <w:r>
        <w:t xml:space="preserve">7. Cox: investors need a concrete closing update</w:t>
      </w:r>
    </w:p>
    <w:p>
      <w:pPr>
        <w:pStyle w:val="FirstParagraph"/>
      </w:pPr>
      <w:r>
        <w:t xml:space="preserve">At the first-quarter call, Charter said it had received all required federal and state approvals except California and was working toward a summer closing. The company previously targeted completion around mid-2026, subject to regulatory approvals. (</w:t>
      </w:r>
      <w:hyperlink r:id="rId23">
        <w:r>
          <w:rPr>
            <w:rStyle w:val="Hyperlink"/>
          </w:rPr>
          <w:t xml:space="preserve">ir.charter.com</w:t>
        </w:r>
      </w:hyperlink>
      <w:r>
        <w:t xml:space="preserve">)</w:t>
      </w:r>
    </w:p>
    <w:p>
      <w:pPr>
        <w:pStyle w:val="BodyText"/>
      </w:pPr>
      <w:r>
        <w:t xml:space="preserve">Management also raised expected run-rate operating synergies from</w:t>
      </w:r>
      <w:r>
        <w:t xml:space="preserve"> </w:t>
      </w:r>
      <w:r>
        <w:rPr>
          <w:b/>
          <w:bCs/>
        </w:rPr>
        <w:t xml:space="preserve">$500 million to at least $800 million</w:t>
      </w:r>
      <w:r>
        <w:t xml:space="preserve">, excluding potential revenue synergies and capital savings.</w:t>
      </w:r>
    </w:p>
    <w:p>
      <w:pPr>
        <w:pStyle w:val="BodyText"/>
      </w:pPr>
      <w:r>
        <w:t xml:space="preserve">Tomorrow, investors will want:</w:t>
      </w:r>
    </w:p>
    <w:p>
      <w:pPr>
        <w:pStyle w:val="Compact"/>
        <w:numPr>
          <w:ilvl w:val="0"/>
          <w:numId w:val="1010"/>
        </w:numPr>
      </w:pPr>
      <w:r>
        <w:t xml:space="preserve">A firm closing timetable.</w:t>
      </w:r>
    </w:p>
    <w:p>
      <w:pPr>
        <w:pStyle w:val="Compact"/>
        <w:numPr>
          <w:ilvl w:val="0"/>
          <w:numId w:val="1010"/>
        </w:numPr>
      </w:pPr>
      <w:r>
        <w:t xml:space="preserve">An update on California approval.</w:t>
      </w:r>
    </w:p>
    <w:p>
      <w:pPr>
        <w:pStyle w:val="Compact"/>
        <w:numPr>
          <w:ilvl w:val="0"/>
          <w:numId w:val="1010"/>
        </w:numPr>
      </w:pPr>
      <w:r>
        <w:t xml:space="preserve">Confirmation or an increase to the $800 million synergy estimate.</w:t>
      </w:r>
    </w:p>
    <w:p>
      <w:pPr>
        <w:pStyle w:val="Compact"/>
        <w:numPr>
          <w:ilvl w:val="0"/>
          <w:numId w:val="1010"/>
        </w:numPr>
      </w:pPr>
      <w:r>
        <w:t xml:space="preserve">Integration-cost and capex expectations.</w:t>
      </w:r>
    </w:p>
    <w:p>
      <w:pPr>
        <w:pStyle w:val="Compact"/>
        <w:numPr>
          <w:ilvl w:val="0"/>
          <w:numId w:val="1010"/>
        </w:numPr>
      </w:pPr>
      <w:r>
        <w:t xml:space="preserve">Details on Cox customer migration to Spectrum pricing.</w:t>
      </w:r>
    </w:p>
    <w:p>
      <w:pPr>
        <w:pStyle w:val="Compact"/>
        <w:numPr>
          <w:ilvl w:val="0"/>
          <w:numId w:val="1010"/>
        </w:numPr>
      </w:pPr>
      <w:r>
        <w:t xml:space="preserve">Clarity on post-close share count and deleveraging.</w:t>
      </w:r>
    </w:p>
    <w:p>
      <w:pPr>
        <w:pStyle w:val="FirstParagraph"/>
      </w:pPr>
      <w:r>
        <w:t xml:space="preserve">The transaction is strategically attractive if Charter can lower Cox’s broadband pricing while materially raising mobile and video penetration. But it also increases execution complexity and pushes the company toward deleveraging at a time when the standalone business is shrinking.</w:t>
      </w:r>
    </w:p>
    <w:bookmarkEnd w:id="24"/>
    <w:bookmarkStart w:id="25" w:name="X045dbbcc82c12ea71aa3b8ec88dda3b5164d5c6"/>
    <w:p>
      <w:pPr>
        <w:pStyle w:val="Heading2"/>
      </w:pPr>
      <w:r>
        <w:t xml:space="preserve">8. Balance sheet and buybacks</w:t>
      </w:r>
    </w:p>
    <w:p>
      <w:pPr>
        <w:pStyle w:val="FirstParagraph"/>
      </w:pPr>
      <w:r>
        <w:t xml:space="preserve">Charter ended 1Q with approximately</w:t>
      </w:r>
      <w:r>
        <w:t xml:space="preserve"> </w:t>
      </w:r>
      <w:r>
        <w:rPr>
          <w:b/>
          <w:bCs/>
        </w:rPr>
        <w:t xml:space="preserve">$94.3 billion of debt principal</w:t>
      </w:r>
      <w:r>
        <w:t xml:space="preserve"> </w:t>
      </w:r>
      <w:r>
        <w:t xml:space="preserve">and net leverage of</w:t>
      </w:r>
      <w:r>
        <w:t xml:space="preserve"> </w:t>
      </w:r>
      <w:r>
        <w:rPr>
          <w:b/>
          <w:bCs/>
        </w:rPr>
        <w:t xml:space="preserve">4.15x</w:t>
      </w:r>
      <w:r>
        <w:t xml:space="preserve">, or 4.22x pro forma for the Liberty Broadband transaction.</w:t>
      </w:r>
    </w:p>
    <w:p>
      <w:pPr>
        <w:pStyle w:val="BodyText"/>
      </w:pPr>
      <w:r>
        <w:t xml:space="preserve">It repurchased</w:t>
      </w:r>
      <w:r>
        <w:t xml:space="preserve"> </w:t>
      </w:r>
      <m:oMath>
        <m:r>
          <m:t>963</m:t>
        </m:r>
        <m:r>
          <m:t>m</m:t>
        </m:r>
        <m:r>
          <m:t>i</m:t>
        </m:r>
        <m:r>
          <m:t>l</m:t>
        </m:r>
        <m:r>
          <m:t>l</m:t>
        </m:r>
        <m:r>
          <m:t>i</m:t>
        </m:r>
        <m:r>
          <m:t>o</m:t>
        </m:r>
        <m:r>
          <m:t>n</m:t>
        </m:r>
        <m:r>
          <m:t>o</m:t>
        </m:r>
        <m:r>
          <m:t>f</m:t>
        </m:r>
        <m:r>
          <m:t>s</m:t>
        </m:r>
        <m:r>
          <m:t>t</m:t>
        </m:r>
        <m:r>
          <m:t>o</m:t>
        </m:r>
        <m:r>
          <m:t>c</m:t>
        </m:r>
        <m:r>
          <m:t>k</m:t>
        </m:r>
        <m:r>
          <m:t>i</m:t>
        </m:r>
        <m:r>
          <m:t>n</m:t>
        </m:r>
        <m:r>
          <m:t>1</m:t>
        </m:r>
        <m:r>
          <m:t>Q</m:t>
        </m:r>
        <m:r>
          <m:t>a</m:t>
        </m:r>
        <m:r>
          <m:t>t</m:t>
        </m:r>
        <m:r>
          <m:t>a</m:t>
        </m:r>
        <m:r>
          <m:t>n</m:t>
        </m:r>
        <m:r>
          <m:t>a</m:t>
        </m:r>
        <m:r>
          <m:t>v</m:t>
        </m:r>
        <m:r>
          <m:t>e</m:t>
        </m:r>
        <m:r>
          <m:t>r</m:t>
        </m:r>
        <m:r>
          <m:t>a</m:t>
        </m:r>
        <m:r>
          <m:t>g</m:t>
        </m:r>
        <m:r>
          <m:t>e</m:t>
        </m:r>
        <m:r>
          <m:t>p</m:t>
        </m:r>
        <m:r>
          <m:t>r</m:t>
        </m:r>
        <m:r>
          <m:t>i</m:t>
        </m:r>
        <m:r>
          <m:t>c</m:t>
        </m:r>
        <m:r>
          <m:t>e</m:t>
        </m:r>
        <m:r>
          <m:t>a</m:t>
        </m:r>
        <m:r>
          <m:t>r</m:t>
        </m:r>
        <m:r>
          <m:t>o</m:t>
        </m:r>
        <m:r>
          <m:t>u</m:t>
        </m:r>
        <m:r>
          <m:t>n</m:t>
        </m:r>
        <m:r>
          <m:t>d</m:t>
        </m:r>
        <m:r>
          <m:rPr>
            <m:sty m:val="p"/>
          </m:rPr>
          <m:t>*</m:t>
        </m:r>
        <m:r>
          <m:rPr>
            <m:sty m:val="p"/>
          </m:rPr>
          <m:t>*</m:t>
        </m:r>
      </m:oMath>
      <w:r>
        <w:t xml:space="preserve">225**, far above today’s price. Shares are now substantially cheaper, but the pending Cox transaction and post-close deleveraging target may constrain the pace at which Charter can capitalize on that valuation.</w:t>
      </w:r>
    </w:p>
    <w:p>
      <w:pPr>
        <w:pStyle w:val="BodyText"/>
      </w:pPr>
      <w:r>
        <w:t xml:space="preserve">Watch for:</w:t>
      </w:r>
    </w:p>
    <w:p>
      <w:pPr>
        <w:pStyle w:val="Compact"/>
        <w:numPr>
          <w:ilvl w:val="0"/>
          <w:numId w:val="1011"/>
        </w:numPr>
      </w:pPr>
      <w:r>
        <w:t xml:space="preserve">Second-quarter repurchase volume.</w:t>
      </w:r>
    </w:p>
    <w:p>
      <w:pPr>
        <w:pStyle w:val="Compact"/>
        <w:numPr>
          <w:ilvl w:val="0"/>
          <w:numId w:val="1011"/>
        </w:numPr>
      </w:pPr>
      <w:r>
        <w:t xml:space="preserve">The current pro forma leverage ratio.</w:t>
      </w:r>
    </w:p>
    <w:p>
      <w:pPr>
        <w:pStyle w:val="Compact"/>
        <w:numPr>
          <w:ilvl w:val="0"/>
          <w:numId w:val="1011"/>
        </w:numPr>
      </w:pPr>
      <w:r>
        <w:t xml:space="preserve">Any change to the near-term 4.25x leverage ceiling.</w:t>
      </w:r>
    </w:p>
    <w:p>
      <w:pPr>
        <w:pStyle w:val="Compact"/>
        <w:numPr>
          <w:ilvl w:val="0"/>
          <w:numId w:val="1011"/>
        </w:numPr>
      </w:pPr>
      <w:r>
        <w:t xml:space="preserve">Confidence in reaching 3.5–3.75x leverage within three years after closing.</w:t>
      </w:r>
    </w:p>
    <w:p>
      <w:pPr>
        <w:pStyle w:val="Compact"/>
        <w:numPr>
          <w:ilvl w:val="0"/>
          <w:numId w:val="1011"/>
        </w:numPr>
      </w:pPr>
      <w:r>
        <w:t xml:space="preserve">Debt refinancing costs given the higher-rate environment.</w:t>
      </w:r>
    </w:p>
    <w:p>
      <w:r>
        <w:pict>
          <v:rect style="width:0;height:1.5pt" o:hralign="center" o:hrstd="t" o:hr="t"/>
        </w:pict>
      </w:r>
    </w:p>
    <w:bookmarkEnd w:id="25"/>
    <w:bookmarkStart w:id="28" w:name="potential-stock-reactions"/>
    <w:p>
      <w:pPr>
        <w:pStyle w:val="Heading2"/>
      </w:pPr>
      <w:r>
        <w:t xml:space="preserve">Potential stock reactions</w:t>
      </w:r>
    </w:p>
    <w:bookmarkStart w:id="26" w:name="bullish-outcome"/>
    <w:p>
      <w:pPr>
        <w:pStyle w:val="Heading3"/>
      </w:pPr>
      <w:r>
        <w:t xml:space="preserve">Bullish outcome</w:t>
      </w:r>
    </w:p>
    <w:p>
      <w:pPr>
        <w:pStyle w:val="Compact"/>
        <w:numPr>
          <w:ilvl w:val="0"/>
          <w:numId w:val="1012"/>
        </w:numPr>
      </w:pPr>
      <w:r>
        <w:t xml:space="preserve">Internet losses materially better than approximately 140,000.</w:t>
      </w:r>
    </w:p>
    <w:p>
      <w:pPr>
        <w:pStyle w:val="Compact"/>
        <w:numPr>
          <w:ilvl w:val="0"/>
          <w:numId w:val="1012"/>
        </w:numPr>
      </w:pPr>
      <w:r>
        <w:t xml:space="preserve">Gross additions improve while churn remains low.</w:t>
      </w:r>
    </w:p>
    <w:p>
      <w:pPr>
        <w:pStyle w:val="Compact"/>
        <w:numPr>
          <w:ilvl w:val="0"/>
          <w:numId w:val="1012"/>
        </w:numPr>
      </w:pPr>
      <w:r>
        <w:t xml:space="preserve">EBITDA meets or exceeds roughly $5.6 billion.</w:t>
      </w:r>
    </w:p>
    <w:p>
      <w:pPr>
        <w:pStyle w:val="Compact"/>
        <w:numPr>
          <w:ilvl w:val="0"/>
          <w:numId w:val="1012"/>
        </w:numPr>
      </w:pPr>
      <w:r>
        <w:t xml:space="preserve">Slight full-year EBITDA growth is confidently reiterated.</w:t>
      </w:r>
    </w:p>
    <w:p>
      <w:pPr>
        <w:pStyle w:val="Compact"/>
        <w:numPr>
          <w:ilvl w:val="0"/>
          <w:numId w:val="1012"/>
        </w:numPr>
      </w:pPr>
      <w:r>
        <w:t xml:space="preserve">$11.4 billion capex guidance remains intact.</w:t>
      </w:r>
    </w:p>
    <w:p>
      <w:pPr>
        <w:pStyle w:val="Compact"/>
        <w:numPr>
          <w:ilvl w:val="0"/>
          <w:numId w:val="1012"/>
        </w:numPr>
      </w:pPr>
      <w:r>
        <w:t xml:space="preserve">Cox receives a firm closing date, with at least $800 million of synergies reaffirmed.</w:t>
      </w:r>
    </w:p>
    <w:p>
      <w:pPr>
        <w:pStyle w:val="Compact"/>
        <w:numPr>
          <w:ilvl w:val="0"/>
          <w:numId w:val="1012"/>
        </w:numPr>
      </w:pPr>
      <w:r>
        <w:t xml:space="preserve">Constructive details emerge on the potential SpaceX relationship.</w:t>
      </w:r>
    </w:p>
    <w:bookmarkEnd w:id="26"/>
    <w:bookmarkStart w:id="27" w:name="bearish-outcome"/>
    <w:p>
      <w:pPr>
        <w:pStyle w:val="Heading3"/>
      </w:pPr>
      <w:r>
        <w:t xml:space="preserve">Bearish outcome</w:t>
      </w:r>
    </w:p>
    <w:p>
      <w:pPr>
        <w:pStyle w:val="Compact"/>
        <w:numPr>
          <w:ilvl w:val="0"/>
          <w:numId w:val="1013"/>
        </w:numPr>
      </w:pPr>
      <w:r>
        <w:t xml:space="preserve">Internet losses exceed approximately 160,000–175,000.</w:t>
      </w:r>
    </w:p>
    <w:p>
      <w:pPr>
        <w:pStyle w:val="Compact"/>
        <w:numPr>
          <w:ilvl w:val="0"/>
          <w:numId w:val="1013"/>
        </w:numPr>
      </w:pPr>
      <w:r>
        <w:t xml:space="preserve">Churn increases rather than weakness remaining confined to gross adds.</w:t>
      </w:r>
    </w:p>
    <w:p>
      <w:pPr>
        <w:pStyle w:val="Compact"/>
        <w:numPr>
          <w:ilvl w:val="0"/>
          <w:numId w:val="1013"/>
        </w:numPr>
      </w:pPr>
      <w:r>
        <w:t xml:space="preserve">Promotional pressure pushes Internet ARPU clearly negative.</w:t>
      </w:r>
    </w:p>
    <w:p>
      <w:pPr>
        <w:pStyle w:val="Compact"/>
        <w:numPr>
          <w:ilvl w:val="0"/>
          <w:numId w:val="1013"/>
        </w:numPr>
      </w:pPr>
      <w:r>
        <w:t xml:space="preserve">Full-year EBITDA growth expectations are reduced.</w:t>
      </w:r>
    </w:p>
    <w:p>
      <w:pPr>
        <w:pStyle w:val="Compact"/>
        <w:numPr>
          <w:ilvl w:val="0"/>
          <w:numId w:val="1013"/>
        </w:numPr>
      </w:pPr>
      <w:r>
        <w:t xml:space="preserve">Capex rises or the post-2026 decline is delayed.</w:t>
      </w:r>
    </w:p>
    <w:p>
      <w:pPr>
        <w:pStyle w:val="Compact"/>
        <w:numPr>
          <w:ilvl w:val="0"/>
          <w:numId w:val="1013"/>
        </w:numPr>
      </w:pPr>
      <w:r>
        <w:t xml:space="preserve">Cox’s closing remains uncertain or integration costs increase.</w:t>
      </w:r>
    </w:p>
    <w:p>
      <w:pPr>
        <w:pStyle w:val="Compact"/>
        <w:numPr>
          <w:ilvl w:val="0"/>
          <w:numId w:val="1013"/>
        </w:numPr>
      </w:pPr>
      <w:r>
        <w:t xml:space="preserve">Management offers no credible path back to broadband customer growth.</w:t>
      </w:r>
    </w:p>
    <w:bookmarkEnd w:id="27"/>
    <w:bookmarkEnd w:id="28"/>
    <w:bookmarkStart w:id="29" w:name="investor-takeaway"/>
    <w:p>
      <w:pPr>
        <w:pStyle w:val="Heading2"/>
      </w:pPr>
      <w:r>
        <w:t xml:space="preserve">Investor takeaway</w:t>
      </w:r>
    </w:p>
    <w:p>
      <w:pPr>
        <w:pStyle w:val="FirstParagraph"/>
      </w:pPr>
      <w:r>
        <w:t xml:space="preserve">The market is no longer valuing Charter primarily on near-term EPS. It is valuing the company on whether</w:t>
      </w:r>
      <w:r>
        <w:t xml:space="preserve"> </w:t>
      </w:r>
      <w:r>
        <w:rPr>
          <w:b/>
          <w:bCs/>
        </w:rPr>
        <w:t xml:space="preserve">broadband and EBITDA can stabilize before leverage and transaction complexity overwhelm the future capex-driven free-cash-flow upside</w:t>
      </w:r>
      <w:r>
        <w:t xml:space="preserve">.</w:t>
      </w:r>
    </w:p>
    <w:p>
      <w:pPr>
        <w:pStyle w:val="BodyText"/>
      </w:pPr>
      <w:r>
        <w:t xml:space="preserve">The stock’s collapse means merely meeting depressed estimates may generate relief. But a durable rerating likely requires three things together:</w:t>
      </w:r>
    </w:p>
    <w:p>
      <w:pPr>
        <w:pStyle w:val="Compact"/>
        <w:numPr>
          <w:ilvl w:val="0"/>
          <w:numId w:val="1014"/>
        </w:numPr>
      </w:pPr>
      <w:r>
        <w:t xml:space="preserve">Evidence that broadband losses are bottoming.</w:t>
      </w:r>
    </w:p>
    <w:p>
      <w:pPr>
        <w:pStyle w:val="Compact"/>
        <w:numPr>
          <w:ilvl w:val="0"/>
          <w:numId w:val="1014"/>
        </w:numPr>
      </w:pPr>
      <w:r>
        <w:t xml:space="preserve">Reaffirmation of slight EBITDA growth and the capex-downcycle thesis.</w:t>
      </w:r>
    </w:p>
    <w:p>
      <w:pPr>
        <w:pStyle w:val="Compact"/>
        <w:numPr>
          <w:ilvl w:val="0"/>
          <w:numId w:val="1014"/>
        </w:numPr>
      </w:pPr>
      <w:r>
        <w:t xml:space="preserve">A clear, credible Cox closing and integration plan.</w:t>
      </w:r>
    </w:p>
    <w:p>
      <w:pPr>
        <w:pStyle w:val="FirstParagraph"/>
      </w:pPr>
      <w:r>
        <w:t xml:space="preserve">Of those,</w:t>
      </w:r>
      <w:r>
        <w:t xml:space="preserve"> </w:t>
      </w:r>
      <w:r>
        <w:rPr>
          <w:b/>
          <w:bCs/>
        </w:rPr>
        <w:t xml:space="preserve">broadband gross additions and churn commentary will be the most important information in tomorrow’s report.</w:t>
      </w:r>
    </w:p>
    <w:bookmarkEnd w:id="29"/>
    <w:bookmarkEnd w:id="3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r.charter.com/events/event-details/2q26-charter-investor-conference-call?utm_source=openai" TargetMode="External" /><Relationship Type="http://schemas.openxmlformats.org/officeDocument/2006/relationships/hyperlink" Id="rId11" Target="https://ir.charter.com/financial-information/quarterly-results" TargetMode="External" /><Relationship Type="http://schemas.openxmlformats.org/officeDocument/2006/relationships/hyperlink" Id="rId23" Target="https://ir.charter.com/news-releases/news-release-details/charter-receives-stockholder-approvals-necessary-complete-cox/?utm_source=openai" TargetMode="External" /><Relationship Type="http://schemas.openxmlformats.org/officeDocument/2006/relationships/hyperlink" Id="rId20" Target="https://news.bloomberglaw.com/health-law-and-business/spacex-charter-discussed-mobile-phone-partnership-in-us" TargetMode="External" /></Relationships>
</file>

<file path=word/_rels/footnotes.xml.rels><?xml version="1.0" encoding="UTF-8"?><Relationships xmlns="http://schemas.openxmlformats.org/package/2006/relationships"><Relationship Type="http://schemas.openxmlformats.org/officeDocument/2006/relationships/hyperlink" Id="rId9" Target="https://ir.charter.com/events/event-details/2q26-charter-investor-conference-call?utm_source=openai" TargetMode="External" /><Relationship Type="http://schemas.openxmlformats.org/officeDocument/2006/relationships/hyperlink" Id="rId11" Target="https://ir.charter.com/financial-information/quarterly-results" TargetMode="External" /><Relationship Type="http://schemas.openxmlformats.org/officeDocument/2006/relationships/hyperlink" Id="rId23" Target="https://ir.charter.com/news-releases/news-release-details/charter-receives-stockholder-approvals-necessary-complete-cox/?utm_source=openai" TargetMode="External" /><Relationship Type="http://schemas.openxmlformats.org/officeDocument/2006/relationships/hyperlink" Id="rId20" Target="https://news.bloomberglaw.com/health-law-and-business/spacex-charter-discussed-mobile-phone-partnership-in-u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2026-07-24T00:04:48Z</dcterms:created>
  <dcterms:modified xsi:type="dcterms:W3CDTF">2026-07-24T00:04:48Z</dcterms:modified>
</cp:coreProperties>
</file>

<file path=docProps/custom.xml><?xml version="1.0" encoding="utf-8"?>
<Properties xmlns="http://schemas.openxmlformats.org/officeDocument/2006/custom-properties" xmlns:vt="http://schemas.openxmlformats.org/officeDocument/2006/docPropsVTypes"/>
</file>