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tr-earnings-predictions--2026-07-24"/>
    <w:p>
      <w:pPr>
        <w:pStyle w:val="Heading1"/>
      </w:pPr>
      <w:r>
        <w:t xml:space="preserve">CHTR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Internet net adds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~(158K) vs. cons (142K)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~$5.51B vs. cons $5.58B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Mobile net adds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~405K vs. cons 380K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growth ex-Cox transition costs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~+0.5% vs. cons +0.3%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~$11.4B vs. cons $11.4B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Cox run-rate operating-expense synergies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~$0.80B vs. cons $0.80B (post-close run-rate)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-9.0% (FOLLOW-THROUGH)</w:t>
            </w:r>
          </w:p>
        </w:tc>
        <w:tc>
          <w:tcPr/>
          <w:p>
            <w:pPr>
              <w:pStyle w:val="Compact"/>
            </w:pPr>
            <w:r>
              <w:t xml:space="preserve">Internet loss of ~(158K) versus (142K) consensus would force lower 2H26 broadband-volume and residential-revenue assumptions; mobile strength and unchanged ~$11.4B capex guidance are insufficient to offset weaker out-period EBITDA/FCF math.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2026-07-24T00:02:54Z</dcterms:created>
  <dcterms:modified xsi:type="dcterms:W3CDTF">2026-07-24T00:02:54Z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