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8753b407605e2e1d66ce9b02a4949fbf1311142"/>
    <w:p>
      <w:pPr>
        <w:pStyle w:val="Heading1"/>
      </w:pPr>
      <w:r>
        <w:t xml:space="preserve">Charter Communications (CHTR) — 2Q26 Earnings Preview</w:t>
      </w:r>
    </w:p>
    <w:p>
      <w:pPr>
        <w:pStyle w:val="FirstParagraph"/>
      </w:pPr>
      <w:r>
        <w:rPr>
          <w:b/>
          <w:bCs/>
        </w:rPr>
        <w:t xml:space="preserve">Event:</w:t>
      </w:r>
      <w:r>
        <w:t xml:space="preserve"> </w:t>
      </w:r>
      <w:r>
        <w:t xml:space="preserve">Friday,</w:t>
      </w:r>
      <w:r>
        <w:t xml:space="preserve"> </w:t>
      </w:r>
      <w:r>
        <w:rPr>
          <w:b/>
          <w:bCs/>
        </w:rPr>
        <w:t xml:space="preserve">July 24, 2026</w:t>
      </w:r>
      <w:r>
        <w:br/>
      </w:r>
      <w:r>
        <w:rPr>
          <w:b/>
          <w:bCs/>
        </w:rPr>
        <w:t xml:space="preserve">Results:</w:t>
      </w:r>
      <w:r>
        <w:t xml:space="preserve"> </w:t>
      </w:r>
      <w:r>
        <w:t xml:space="preserve">7:00 a.m. ET |</w:t>
      </w:r>
      <w:r>
        <w:t xml:space="preserve"> </w:t>
      </w:r>
      <w:r>
        <w:rPr>
          <w:b/>
          <w:bCs/>
        </w:rPr>
        <w:t xml:space="preserve">Earnings call:</w:t>
      </w:r>
      <w:r>
        <w:t xml:space="preserve"> </w:t>
      </w:r>
      <w:r>
        <w:t xml:space="preserve">8:00 a.m. ET</w:t>
      </w:r>
      <w:r>
        <w:br/>
      </w:r>
      <w:r>
        <w:rPr>
          <w:b/>
          <w:bCs/>
        </w:rPr>
        <w:t xml:space="preserve">Quarter-end:</w:t>
      </w:r>
      <w:r>
        <w:t xml:space="preserve"> </w:t>
      </w:r>
      <w:r>
        <w:t xml:space="preserve">June 30, 2026</w:t>
      </w:r>
    </w:p>
    <w:bookmarkStart w:id="9" w:name="bottom-line"/>
    <w:p>
      <w:pPr>
        <w:pStyle w:val="Heading2"/>
      </w:pPr>
      <w:r>
        <w:t xml:space="preserve">Bottom line</w:t>
      </w:r>
    </w:p>
    <w:p>
      <w:pPr>
        <w:pStyle w:val="FirstParagraph"/>
      </w:pPr>
      <w:r>
        <w:t xml:space="preserve">Charter enters 2Q26 with expectations and sentiment decidedly low. The core issue is not mobile growth, video improvement, or even near-term EBITDA—it is whether Charter can stabilize</w:t>
      </w:r>
      <w:r>
        <w:t xml:space="preserve"> </w:t>
      </w:r>
      <w:r>
        <w:rPr>
          <w:b/>
          <w:bCs/>
        </w:rPr>
        <w:t xml:space="preserve">broadband subscriber trends</w:t>
      </w:r>
      <w:r>
        <w:t xml:space="preserve"> </w:t>
      </w:r>
      <w:r>
        <w:t xml:space="preserve">despite persistent fixed-wireless, fiber, weak housing/mover activity, and growing investor anxiety over satellite competition.</w:t>
      </w:r>
    </w:p>
    <w:p>
      <w:pPr>
        <w:pStyle w:val="BodyText"/>
      </w:pPr>
      <w:r>
        <w:t xml:space="preserve">The bar appears modest on financials, but the stock needs evidence that the broadband trajectory is not deteriorating further and that management’s pricing, packaging, service, and converged-product strategy can eventually return the company to customer and free-cash-flow growth. The</w:t>
      </w:r>
      <w:r>
        <w:t xml:space="preserve"> </w:t>
      </w:r>
      <w:r>
        <w:rPr>
          <w:b/>
          <w:bCs/>
        </w:rPr>
        <w:t xml:space="preserve">Cox transaction closing/timing and integration roadmap</w:t>
      </w:r>
      <w:r>
        <w:t xml:space="preserve"> </w:t>
      </w:r>
      <w:r>
        <w:t xml:space="preserve">are the most important strategic variables beyond the headline results.</w:t>
      </w:r>
    </w:p>
    <w:p>
      <w:pPr>
        <w:pStyle w:val="BodyText"/>
      </w:pPr>
      <w:r>
        <w:t xml:space="preserve">CHTR closed at</w:t>
      </w:r>
      <w:r>
        <w:t xml:space="preserve"> </w:t>
      </w:r>
      <w:r>
        <w:rPr>
          <w:b/>
          <w:bCs/>
        </w:rPr>
        <w:t xml:space="preserve">$126.53 on July 23</w:t>
      </w:r>
      <w:r>
        <w:t xml:space="preserve">, down roughly</w:t>
      </w:r>
      <w:r>
        <w:t xml:space="preserve"> </w:t>
      </w:r>
      <w:r>
        <w:rPr>
          <w:b/>
          <w:bCs/>
        </w:rPr>
        <w:t xml:space="preserve">40% year-to-date</w:t>
      </w:r>
      <w:r>
        <w:t xml:space="preserve"> </w:t>
      </w:r>
      <w:r>
        <w:t xml:space="preserve">and about</w:t>
      </w:r>
      <w:r>
        <w:t xml:space="preserve"> </w:t>
      </w:r>
      <w:r>
        <w:rPr>
          <w:b/>
          <w:bCs/>
        </w:rPr>
        <w:t xml:space="preserve">48% below its April 23 close immediately before 1Q earnings</w:t>
      </w:r>
      <w:r>
        <w:t xml:space="preserve">. That creates room for a relief rally if operational KPIs merely avoid a further reset—but it also means investors are focused on whether the business faces a more structural broadband-growth problem.</w:t>
      </w:r>
    </w:p>
    <w:p>
      <w:r>
        <w:pict>
          <v:rect style="width:0;height:1.5pt" o:hralign="center" o:hrstd="t" o:hr="t"/>
        </w:pict>
      </w:r>
    </w:p>
    <w:bookmarkEnd w:id="9"/>
    <w:bookmarkStart w:id="11" w:name="what-consensus-is-looking-for"/>
    <w:p>
      <w:pPr>
        <w:pStyle w:val="Heading2"/>
      </w:pPr>
      <w:r>
        <w:t xml:space="preserve">What consensus is looking for</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Metric</w:t>
            </w:r>
          </w:p>
        </w:tc>
        <w:tc>
          <w:tcPr/>
          <w:p>
            <w:pPr>
              <w:pStyle w:val="Compact"/>
              <w:jc w:val="right"/>
            </w:pPr>
            <w:r>
              <w:t xml:space="preserve">2Q26 consensus</w:t>
            </w:r>
          </w:p>
        </w:tc>
        <w:tc>
          <w:tcPr/>
          <w:p>
            <w:pPr>
              <w:pStyle w:val="Compact"/>
              <w:jc w:val="right"/>
            </w:pPr>
            <w:r>
              <w:t xml:space="preserve">2Q25 actual</w:t>
            </w:r>
          </w:p>
        </w:tc>
        <w:tc>
          <w:tcPr/>
          <w:p>
            <w:pPr>
              <w:pStyle w:val="Compact"/>
              <w:jc w:val="right"/>
            </w:pPr>
            <w:r>
              <w:t xml:space="preserve">1Q26 actual</w:t>
            </w:r>
          </w:p>
        </w:tc>
        <w:tc>
          <w:tcPr/>
          <w:p>
            <w:pPr>
              <w:pStyle w:val="Compact"/>
            </w:pPr>
            <w:r>
              <w:t xml:space="preserve">Read-through</w:t>
            </w:r>
          </w:p>
        </w:tc>
      </w:tr>
      <w:tr>
        <w:tc>
          <w:tcPr/>
          <w:p>
            <w:pPr>
              <w:pStyle w:val="Compact"/>
            </w:pPr>
            <w:r>
              <w:t xml:space="preserve">Revenue</w:t>
            </w:r>
          </w:p>
        </w:tc>
        <w:tc>
          <w:tcPr/>
          <w:p>
            <w:pPr>
              <w:pStyle w:val="Compact"/>
              <w:jc w:val="right"/>
            </w:pPr>
            <w:r>
              <w:rPr>
                <w:b/>
                <w:bCs/>
              </w:rPr>
              <w:t xml:space="preserve">~$13.5B</w:t>
            </w:r>
          </w:p>
        </w:tc>
        <w:tc>
          <w:tcPr/>
          <w:p>
            <w:pPr>
              <w:pStyle w:val="Compact"/>
              <w:jc w:val="right"/>
            </w:pPr>
            <w:r>
              <w:t xml:space="preserve">$13.77B</w:t>
            </w:r>
          </w:p>
        </w:tc>
        <w:tc>
          <w:tcPr/>
          <w:p>
            <w:pPr>
              <w:pStyle w:val="Compact"/>
              <w:jc w:val="right"/>
            </w:pPr>
            <w:r>
              <w:t xml:space="preserve">$13.60B</w:t>
            </w:r>
          </w:p>
        </w:tc>
        <w:tc>
          <w:tcPr/>
          <w:p>
            <w:pPr>
              <w:pStyle w:val="Compact"/>
            </w:pPr>
            <w:r>
              <w:t xml:space="preserve">Roughly</w:t>
            </w:r>
            <w:r>
              <w:t xml:space="preserve"> </w:t>
            </w:r>
            <w:r>
              <w:rPr>
                <w:b/>
                <w:bCs/>
              </w:rPr>
              <w:t xml:space="preserve">-1.8% YoY</w:t>
            </w:r>
            <w:r>
              <w:t xml:space="preserve"> </w:t>
            </w:r>
            <w:r>
              <w:t xml:space="preserve">expected</w:t>
            </w:r>
          </w:p>
        </w:tc>
      </w:tr>
      <w:tr>
        <w:tc>
          <w:tcPr/>
          <w:p>
            <w:pPr>
              <w:pStyle w:val="Compact"/>
            </w:pPr>
            <w:r>
              <w:t xml:space="preserve">Adjusted EBITDA</w:t>
            </w:r>
          </w:p>
        </w:tc>
        <w:tc>
          <w:tcPr/>
          <w:p>
            <w:pPr>
              <w:pStyle w:val="Compact"/>
              <w:jc w:val="right"/>
            </w:pPr>
            <w:r>
              <w:rPr>
                <w:b/>
                <w:bCs/>
              </w:rPr>
              <w:t xml:space="preserve">~$5.58B</w:t>
            </w:r>
          </w:p>
        </w:tc>
        <w:tc>
          <w:tcPr/>
          <w:p>
            <w:pPr>
              <w:pStyle w:val="Compact"/>
              <w:jc w:val="right"/>
            </w:pPr>
            <w:r>
              <w:t xml:space="preserve">$5.69B</w:t>
            </w:r>
          </w:p>
        </w:tc>
        <w:tc>
          <w:tcPr/>
          <w:p>
            <w:pPr>
              <w:pStyle w:val="Compact"/>
              <w:jc w:val="right"/>
            </w:pPr>
            <w:r>
              <w:t xml:space="preserve">$5.64B</w:t>
            </w:r>
          </w:p>
        </w:tc>
        <w:tc>
          <w:tcPr/>
          <w:p>
            <w:pPr>
              <w:pStyle w:val="Compact"/>
            </w:pPr>
            <w:r>
              <w:t xml:space="preserve">About</w:t>
            </w:r>
            <w:r>
              <w:t xml:space="preserve"> </w:t>
            </w:r>
            <w:r>
              <w:rPr>
                <w:b/>
                <w:bCs/>
              </w:rPr>
              <w:t xml:space="preserve">-2% YoY</w:t>
            </w:r>
            <w:r>
              <w:t xml:space="preserve"> </w:t>
            </w:r>
            <w:r>
              <w:t xml:space="preserve">implied</w:t>
            </w:r>
          </w:p>
        </w:tc>
      </w:tr>
      <w:tr>
        <w:tc>
          <w:tcPr/>
          <w:p>
            <w:pPr>
              <w:pStyle w:val="Compact"/>
            </w:pPr>
            <w:r>
              <w:t xml:space="preserve">Free cash flow</w:t>
            </w:r>
          </w:p>
        </w:tc>
        <w:tc>
          <w:tcPr/>
          <w:p>
            <w:pPr>
              <w:pStyle w:val="Compact"/>
              <w:jc w:val="right"/>
            </w:pPr>
            <w:r>
              <w:rPr>
                <w:b/>
                <w:bCs/>
              </w:rPr>
              <w:t xml:space="preserve">~$1.13B</w:t>
            </w:r>
          </w:p>
        </w:tc>
        <w:tc>
          <w:tcPr/>
          <w:p>
            <w:pPr>
              <w:pStyle w:val="Compact"/>
              <w:jc w:val="right"/>
            </w:pPr>
            <w:r>
              <w:t xml:space="preserve">$1.05B</w:t>
            </w:r>
          </w:p>
        </w:tc>
        <w:tc>
          <w:tcPr/>
          <w:p>
            <w:pPr>
              <w:pStyle w:val="Compact"/>
              <w:jc w:val="right"/>
            </w:pPr>
            <w:r>
              <w:t xml:space="preserve">$1.37B</w:t>
            </w:r>
          </w:p>
        </w:tc>
        <w:tc>
          <w:tcPr/>
          <w:p>
            <w:pPr>
              <w:pStyle w:val="Compact"/>
            </w:pPr>
            <w:r>
              <w:t xml:space="preserve">Working capital and capex timing remain important</w:t>
            </w:r>
          </w:p>
        </w:tc>
      </w:tr>
      <w:tr>
        <w:tc>
          <w:tcPr/>
          <w:p>
            <w:pPr>
              <w:pStyle w:val="Compact"/>
            </w:pPr>
            <w:r>
              <w:t xml:space="preserve">Internet net adds</w:t>
            </w:r>
          </w:p>
        </w:tc>
        <w:tc>
          <w:tcPr/>
          <w:p>
            <w:pPr>
              <w:pStyle w:val="Compact"/>
              <w:jc w:val="right"/>
            </w:pPr>
            <w:r>
              <w:rPr>
                <w:b/>
                <w:bCs/>
              </w:rPr>
              <w:t xml:space="preserve">~(142K)</w:t>
            </w:r>
          </w:p>
        </w:tc>
        <w:tc>
          <w:tcPr/>
          <w:p>
            <w:pPr>
              <w:pStyle w:val="Compact"/>
              <w:jc w:val="right"/>
            </w:pPr>
            <w:r>
              <w:t xml:space="preserve">(117K)</w:t>
            </w:r>
          </w:p>
        </w:tc>
        <w:tc>
          <w:tcPr/>
          <w:p>
            <w:pPr>
              <w:pStyle w:val="Compact"/>
              <w:jc w:val="right"/>
            </w:pPr>
            <w:r>
              <w:t xml:space="preserve">(120K)</w:t>
            </w:r>
          </w:p>
        </w:tc>
        <w:tc>
          <w:tcPr/>
          <w:p>
            <w:pPr>
              <w:pStyle w:val="Compact"/>
            </w:pPr>
            <w:r>
              <w:t xml:space="preserve">The key KPI; consensus assumes worsening YoY losses</w:t>
            </w:r>
          </w:p>
        </w:tc>
      </w:tr>
      <w:tr>
        <w:tc>
          <w:tcPr/>
          <w:p>
            <w:pPr>
              <w:pStyle w:val="Compact"/>
            </w:pPr>
            <w:r>
              <w:t xml:space="preserve">Mobile net adds</w:t>
            </w:r>
          </w:p>
        </w:tc>
        <w:tc>
          <w:tcPr/>
          <w:p>
            <w:pPr>
              <w:pStyle w:val="Compact"/>
              <w:jc w:val="right"/>
            </w:pPr>
            <w:r>
              <w:rPr>
                <w:b/>
                <w:bCs/>
              </w:rPr>
              <w:t xml:space="preserve">~380K</w:t>
            </w:r>
          </w:p>
        </w:tc>
        <w:tc>
          <w:tcPr/>
          <w:p>
            <w:pPr>
              <w:pStyle w:val="Compact"/>
              <w:jc w:val="right"/>
            </w:pPr>
            <w:r>
              <w:t xml:space="preserve">500K</w:t>
            </w:r>
          </w:p>
        </w:tc>
        <w:tc>
          <w:tcPr/>
          <w:p>
            <w:pPr>
              <w:pStyle w:val="Compact"/>
              <w:jc w:val="right"/>
            </w:pPr>
            <w:r>
              <w:t xml:space="preserve">368K</w:t>
            </w:r>
          </w:p>
        </w:tc>
        <w:tc>
          <w:tcPr/>
          <w:p>
            <w:pPr>
              <w:pStyle w:val="Compact"/>
            </w:pPr>
            <w:r>
              <w:t xml:space="preserve">Healthy, but likely below prior-year growth</w:t>
            </w:r>
          </w:p>
        </w:tc>
      </w:tr>
      <w:tr>
        <w:tc>
          <w:tcPr/>
          <w:p>
            <w:pPr>
              <w:pStyle w:val="Compact"/>
            </w:pPr>
            <w:r>
              <w:t xml:space="preserve">Video net adds</w:t>
            </w:r>
          </w:p>
        </w:tc>
        <w:tc>
          <w:tcPr/>
          <w:p>
            <w:pPr>
              <w:pStyle w:val="Compact"/>
              <w:jc w:val="right"/>
            </w:pPr>
            <w:r>
              <w:rPr>
                <w:b/>
                <w:bCs/>
              </w:rPr>
              <w:t xml:space="preserve">~(54K)</w:t>
            </w:r>
          </w:p>
        </w:tc>
        <w:tc>
          <w:tcPr/>
          <w:p>
            <w:pPr>
              <w:pStyle w:val="Compact"/>
              <w:jc w:val="right"/>
            </w:pPr>
            <w:r>
              <w:t xml:space="preserve">(80K)</w:t>
            </w:r>
          </w:p>
        </w:tc>
        <w:tc>
          <w:tcPr/>
          <w:p>
            <w:pPr>
              <w:pStyle w:val="Compact"/>
              <w:jc w:val="right"/>
            </w:pPr>
            <w:r>
              <w:t xml:space="preserve">(60K)</w:t>
            </w:r>
          </w:p>
        </w:tc>
        <w:tc>
          <w:tcPr/>
          <w:p>
            <w:pPr>
              <w:pStyle w:val="Compact"/>
            </w:pPr>
            <w:r>
              <w:t xml:space="preserve">Continued improvement is expected</w:t>
            </w:r>
          </w:p>
        </w:tc>
      </w:tr>
    </w:tbl>
    <w:p>
      <w:pPr>
        <w:pStyle w:val="BodyText"/>
      </w:pPr>
      <w:r>
        <w:rPr>
          <w:i/>
          <w:iCs/>
        </w:rPr>
        <w:t xml:space="preserve">Consensus figures reflect the market estimates cited in a July 17, 2026 news digest.</w:t>
      </w:r>
    </w:p>
    <w:bookmarkStart w:id="10" w:name="the-setup-in-one-sentence"/>
    <w:p>
      <w:pPr>
        <w:pStyle w:val="Heading3"/>
      </w:pPr>
      <w:r>
        <w:t xml:space="preserve">The setup in one sentence</w:t>
      </w:r>
    </w:p>
    <w:p>
      <w:pPr>
        <w:pStyle w:val="FirstParagraph"/>
      </w:pPr>
      <w:r>
        <w:rPr>
          <w:b/>
          <w:bCs/>
        </w:rPr>
        <w:t xml:space="preserve">The market expects another quarter of declining revenue and EBITDA, continued broadband losses, slower mobile net additions, and modestly better video churn.</w:t>
      </w:r>
    </w:p>
    <w:p>
      <w:r>
        <w:pict>
          <v:rect style="width:0;height:1.5pt" o:hralign="center" o:hrstd="t" o:hr="t"/>
        </w:pict>
      </w:r>
    </w:p>
    <w:bookmarkEnd w:id="10"/>
    <w:bookmarkEnd w:id="11"/>
    <w:bookmarkStart w:id="14" w:name="X8c59e0c0feffbaa7062566cae7c070624f5a8e8"/>
    <w:p>
      <w:pPr>
        <w:pStyle w:val="Heading2"/>
      </w:pPr>
      <w:r>
        <w:t xml:space="preserve">The KPI that matters: Internet subscribers</w:t>
      </w:r>
    </w:p>
    <w:p>
      <w:pPr>
        <w:pStyle w:val="FirstParagraph"/>
      </w:pPr>
      <w:r>
        <w:t xml:space="preserve">Charter lost</w:t>
      </w:r>
      <w:r>
        <w:t xml:space="preserve"> </w:t>
      </w:r>
      <w:r>
        <w:rPr>
          <w:b/>
          <w:bCs/>
        </w:rPr>
        <w:t xml:space="preserve">120,000 Internet customers in 1Q26</w:t>
      </w:r>
      <w:r>
        <w:t xml:space="preserve">, versus a loss of 59,000 in 1Q25. Management attributed the pressure primarily to lower new connects—not a major churn problem—amid fixed-wireless expansion, fiber overlap, muted household formation, low move activity, and some mobile substitution.</w:t>
      </w:r>
    </w:p>
    <w:p>
      <w:pPr>
        <w:pStyle w:val="BodyText"/>
      </w:pPr>
      <w:r>
        <w:t xml:space="preserve">For 2Q26, consensus is modeling a</w:t>
      </w:r>
      <w:r>
        <w:t xml:space="preserve"> </w:t>
      </w:r>
      <w:r>
        <w:rPr>
          <w:b/>
          <w:bCs/>
        </w:rPr>
        <w:t xml:space="preserve">142,000 broadband loss</w:t>
      </w:r>
      <w:r>
        <w:t xml:space="preserve">, worse than both the</w:t>
      </w:r>
      <w:r>
        <w:t xml:space="preserve"> </w:t>
      </w:r>
      <w:r>
        <w:rPr>
          <w:b/>
          <w:bCs/>
        </w:rPr>
        <w:t xml:space="preserve">117,000 loss in 2Q25</w:t>
      </w:r>
      <w:r>
        <w:t xml:space="preserve"> </w:t>
      </w:r>
      <w:r>
        <w:t xml:space="preserve">and the</w:t>
      </w:r>
      <w:r>
        <w:t xml:space="preserve"> </w:t>
      </w:r>
      <w:r>
        <w:rPr>
          <w:b/>
          <w:bCs/>
        </w:rPr>
        <w:t xml:space="preserve">120,000 loss in 1Q26</w:t>
      </w:r>
      <w:r>
        <w:t xml:space="preserve">.</w:t>
      </w:r>
    </w:p>
    <w:bookmarkStart w:id="12" w:name="what-would-constitute-a-good-result"/>
    <w:p>
      <w:pPr>
        <w:pStyle w:val="Heading3"/>
      </w:pPr>
      <w:r>
        <w:t xml:space="preserve">What would constitute a good result?</w:t>
      </w:r>
    </w:p>
    <w:p>
      <w:pPr>
        <w:pStyle w:val="Compact"/>
        <w:numPr>
          <w:ilvl w:val="0"/>
          <w:numId w:val="1001"/>
        </w:numPr>
      </w:pPr>
      <w:r>
        <w:t xml:space="preserve">Internet losses</w:t>
      </w:r>
      <w:r>
        <w:t xml:space="preserve"> </w:t>
      </w:r>
      <w:r>
        <w:rPr>
          <w:b/>
          <w:bCs/>
        </w:rPr>
        <w:t xml:space="preserve">meaningfully better than 142,000</w:t>
      </w:r>
      <w:r>
        <w:t xml:space="preserve">, particularly if management can point to improved gross adds rather than simply lower churn.</w:t>
      </w:r>
    </w:p>
    <w:p>
      <w:pPr>
        <w:pStyle w:val="Compact"/>
        <w:numPr>
          <w:ilvl w:val="0"/>
          <w:numId w:val="1001"/>
        </w:numPr>
      </w:pPr>
      <w:r>
        <w:t xml:space="preserve">Evidence that low-income offers, digital sales improvements, and the</w:t>
      </w:r>
      <w:r>
        <w:t xml:space="preserve"> </w:t>
      </w:r>
      <w:r>
        <w:rPr>
          <w:b/>
          <w:bCs/>
        </w:rPr>
        <w:t xml:space="preserve">$1,000 switching-savings guarantee</w:t>
      </w:r>
      <w:r>
        <w:t xml:space="preserve"> </w:t>
      </w:r>
      <w:r>
        <w:t xml:space="preserve">are improving top-of-funnel demand.</w:t>
      </w:r>
    </w:p>
    <w:p>
      <w:pPr>
        <w:pStyle w:val="Compact"/>
        <w:numPr>
          <w:ilvl w:val="0"/>
          <w:numId w:val="1001"/>
        </w:numPr>
      </w:pPr>
      <w:r>
        <w:t xml:space="preserve">A more constructive view on the second half, including either stabilization in competitive intensity or evidence that Charter’s upgraded product set is converting better.</w:t>
      </w:r>
    </w:p>
    <w:bookmarkEnd w:id="12"/>
    <w:bookmarkStart w:id="13" w:name="what-would-worry-investors"/>
    <w:p>
      <w:pPr>
        <w:pStyle w:val="Heading3"/>
      </w:pPr>
      <w:r>
        <w:t xml:space="preserve">What would worry investors?</w:t>
      </w:r>
    </w:p>
    <w:p>
      <w:pPr>
        <w:pStyle w:val="Compact"/>
        <w:numPr>
          <w:ilvl w:val="0"/>
          <w:numId w:val="1002"/>
        </w:numPr>
      </w:pPr>
      <w:r>
        <w:t xml:space="preserve">A loss materially worse than consensus, especially if management cites further fixed-wireless, fiber, or satellite-related pressure.</w:t>
      </w:r>
    </w:p>
    <w:p>
      <w:pPr>
        <w:pStyle w:val="Compact"/>
        <w:numPr>
          <w:ilvl w:val="0"/>
          <w:numId w:val="1002"/>
        </w:numPr>
      </w:pPr>
      <w:r>
        <w:t xml:space="preserve">Further signs that lower Internet ARPU or promotional activity is necessary to defend volumes.</w:t>
      </w:r>
    </w:p>
    <w:p>
      <w:pPr>
        <w:pStyle w:val="Compact"/>
        <w:numPr>
          <w:ilvl w:val="0"/>
          <w:numId w:val="1002"/>
        </w:numPr>
      </w:pPr>
      <w:r>
        <w:t xml:space="preserve">A narrative shift from “temporary/top-of-funnel weakness” toward a more enduring market-share or product-substitution challenge.</w:t>
      </w:r>
    </w:p>
    <w:p>
      <w:pPr>
        <w:pStyle w:val="FirstParagraph"/>
      </w:pPr>
      <w:r>
        <w:t xml:space="preserve">Management has emphasized that churn remains historically low and sales conversion is solid once prospects engage. The investment debate is therefore whether Charter can create enough customer consideration at the top of the funnel—not whether its installed base is imminently collapsing.</w:t>
      </w:r>
    </w:p>
    <w:p>
      <w:r>
        <w:pict>
          <v:rect style="width:0;height:1.5pt" o:hralign="center" o:hrstd="t" o:hr="t"/>
        </w:pict>
      </w:r>
    </w:p>
    <w:bookmarkEnd w:id="13"/>
    <w:bookmarkEnd w:id="14"/>
    <w:bookmarkStart w:id="15" w:name="Xa1adcf5d16cd0a451e6d91f230a00b2048e06e7"/>
    <w:p>
      <w:pPr>
        <w:pStyle w:val="Heading2"/>
      </w:pPr>
      <w:r>
        <w:t xml:space="preserve">Mobile remains the strategic offset—but growth is decelerating</w:t>
      </w:r>
    </w:p>
    <w:p>
      <w:pPr>
        <w:pStyle w:val="FirstParagraph"/>
      </w:pPr>
      <w:r>
        <w:t xml:space="preserve">Spectrum Mobile added</w:t>
      </w:r>
      <w:r>
        <w:t xml:space="preserve"> </w:t>
      </w:r>
      <w:r>
        <w:rPr>
          <w:b/>
          <w:bCs/>
        </w:rPr>
        <w:t xml:space="preserve">368,000 lines in 1Q26</w:t>
      </w:r>
      <w:r>
        <w:t xml:space="preserve">, bringing the base to</w:t>
      </w:r>
      <w:r>
        <w:t xml:space="preserve"> </w:t>
      </w:r>
      <w:r>
        <w:rPr>
          <w:b/>
          <w:bCs/>
        </w:rPr>
        <w:t xml:space="preserve">12.1 million lines</w:t>
      </w:r>
      <w:r>
        <w:t xml:space="preserve">, up</w:t>
      </w:r>
      <w:r>
        <w:t xml:space="preserve"> </w:t>
      </w:r>
      <w:r>
        <w:rPr>
          <w:b/>
          <w:bCs/>
        </w:rPr>
        <w:t xml:space="preserve">17% YoY</w:t>
      </w:r>
      <w:r>
        <w:t xml:space="preserve">. That is still substantial growth, but net additions were below the 507,000 added in 1Q25 as national wireless carriers deployed aggressive device subsidies.</w:t>
      </w:r>
    </w:p>
    <w:p>
      <w:pPr>
        <w:pStyle w:val="BodyText"/>
      </w:pPr>
      <w:r>
        <w:t xml:space="preserve">For 2Q26, consensus expects approximately</w:t>
      </w:r>
      <w:r>
        <w:t xml:space="preserve"> </w:t>
      </w:r>
      <w:r>
        <w:rPr>
          <w:b/>
          <w:bCs/>
        </w:rPr>
        <w:t xml:space="preserve">380,000 mobile net additions</w:t>
      </w:r>
      <w:r>
        <w:t xml:space="preserve">, versus</w:t>
      </w:r>
      <w:r>
        <w:t xml:space="preserve"> </w:t>
      </w:r>
      <w:r>
        <w:rPr>
          <w:b/>
          <w:bCs/>
        </w:rPr>
        <w:t xml:space="preserve">500,000 in 2Q25</w:t>
      </w:r>
      <w:r>
        <w:t xml:space="preserve">.</w:t>
      </w:r>
    </w:p>
    <w:p>
      <w:pPr>
        <w:pStyle w:val="BodyText"/>
      </w:pPr>
      <w:r>
        <w:t xml:space="preserve">Mobile matters for three reasons:</w:t>
      </w:r>
    </w:p>
    <w:p>
      <w:pPr>
        <w:pStyle w:val="Compact"/>
        <w:numPr>
          <w:ilvl w:val="0"/>
          <w:numId w:val="1003"/>
        </w:numPr>
      </w:pPr>
      <w:r>
        <w:rPr>
          <w:b/>
          <w:bCs/>
        </w:rPr>
        <w:t xml:space="preserve">Household economics:</w:t>
      </w:r>
      <w:r>
        <w:t xml:space="preserve"> </w:t>
      </w:r>
      <w:r>
        <w:t xml:space="preserve">Mobile can raise total revenue and improve retention even when standalone broadband pricing is more competitive.</w:t>
      </w:r>
    </w:p>
    <w:p>
      <w:pPr>
        <w:pStyle w:val="Compact"/>
        <w:numPr>
          <w:ilvl w:val="0"/>
          <w:numId w:val="1003"/>
        </w:numPr>
      </w:pPr>
      <w:r>
        <w:rPr>
          <w:b/>
          <w:bCs/>
        </w:rPr>
        <w:t xml:space="preserve">Broadband acquisition:</w:t>
      </w:r>
      <w:r>
        <w:t xml:space="preserve"> </w:t>
      </w:r>
      <w:r>
        <w:t xml:space="preserve">Charter uses mobile bundles as a lead-generation and value proposition for Internet.</w:t>
      </w:r>
    </w:p>
    <w:p>
      <w:pPr>
        <w:pStyle w:val="Compact"/>
        <w:numPr>
          <w:ilvl w:val="0"/>
          <w:numId w:val="1003"/>
        </w:numPr>
      </w:pPr>
      <w:r>
        <w:rPr>
          <w:b/>
          <w:bCs/>
        </w:rPr>
        <w:t xml:space="preserve">Cox upside:</w:t>
      </w:r>
      <w:r>
        <w:t xml:space="preserve"> </w:t>
      </w:r>
      <w:r>
        <w:t xml:space="preserve">Cox has relatively low mobile penetration, which Charter sees as a major post-close cross-sell opportunity.</w:t>
      </w:r>
    </w:p>
    <w:p>
      <w:pPr>
        <w:pStyle w:val="FirstParagraph"/>
      </w:pPr>
      <w:r>
        <w:t xml:space="preserve">The key question is whether mobile remains sufficiently accretive to offset pressure from lower-priced connectivity offers and whether the company can preserve customer lifetime value without increasing subsidy intensity.</w:t>
      </w:r>
    </w:p>
    <w:p>
      <w:r>
        <w:pict>
          <v:rect style="width:0;height:1.5pt" o:hralign="center" o:hrstd="t" o:hr="t"/>
        </w:pict>
      </w:r>
    </w:p>
    <w:bookmarkEnd w:id="15"/>
    <w:bookmarkStart w:id="16" w:name="X00781856e52870a6dd1cc099539393fb989d06d"/>
    <w:p>
      <w:pPr>
        <w:pStyle w:val="Heading2"/>
      </w:pPr>
      <w:r>
        <w:t xml:space="preserve">Video: improving churn, but not necessarily improving revenue</w:t>
      </w:r>
    </w:p>
    <w:p>
      <w:pPr>
        <w:pStyle w:val="FirstParagraph"/>
      </w:pPr>
      <w:r>
        <w:t xml:space="preserve">Video is becoming less of a customer-loss problem but remains a revenue headwind. Charter lost only</w:t>
      </w:r>
      <w:r>
        <w:t xml:space="preserve"> </w:t>
      </w:r>
      <w:r>
        <w:rPr>
          <w:b/>
          <w:bCs/>
        </w:rPr>
        <w:t xml:space="preserve">60,000 video customers in 1Q26</w:t>
      </w:r>
      <w:r>
        <w:t xml:space="preserve">, a large improvement from the</w:t>
      </w:r>
      <w:r>
        <w:t xml:space="preserve"> </w:t>
      </w:r>
      <w:r>
        <w:rPr>
          <w:b/>
          <w:bCs/>
        </w:rPr>
        <w:t xml:space="preserve">181,000 lost in 1Q25</w:t>
      </w:r>
      <w:r>
        <w:t xml:space="preserve">, helped by simplified packages and the inclusion of streaming applications in video plans.</w:t>
      </w:r>
    </w:p>
    <w:p>
      <w:pPr>
        <w:pStyle w:val="BodyText"/>
      </w:pPr>
      <w:r>
        <w:t xml:space="preserve">Consensus expects a</w:t>
      </w:r>
      <w:r>
        <w:t xml:space="preserve"> </w:t>
      </w:r>
      <w:r>
        <w:rPr>
          <w:b/>
          <w:bCs/>
        </w:rPr>
        <w:t xml:space="preserve">54,000</w:t>
      </w:r>
      <w:r>
        <w:t xml:space="preserve"> </w:t>
      </w:r>
      <w:r>
        <w:t xml:space="preserve">video-customer loss in 2Q26, better than the</w:t>
      </w:r>
      <w:r>
        <w:t xml:space="preserve"> </w:t>
      </w:r>
      <w:r>
        <w:rPr>
          <w:b/>
          <w:bCs/>
        </w:rPr>
        <w:t xml:space="preserve">80,000</w:t>
      </w:r>
      <w:r>
        <w:t xml:space="preserve"> </w:t>
      </w:r>
      <w:r>
        <w:t xml:space="preserve">loss in 2Q25.</w:t>
      </w:r>
    </w:p>
    <w:p>
      <w:pPr>
        <w:pStyle w:val="BodyText"/>
      </w:pPr>
      <w:r>
        <w:t xml:space="preserve">However, video revenue is likely to remain pressured because Charter is embedding the cost of included streaming services within video revenue. In 1Q26, this allocation was</w:t>
      </w:r>
      <w:r>
        <w:t xml:space="preserve"> </w:t>
      </w:r>
      <m:oMath>
        <m:r>
          <m:t>218</m:t>
        </m:r>
        <m:r>
          <m:t>m</m:t>
        </m:r>
        <m:r>
          <m:t>i</m:t>
        </m:r>
        <m:r>
          <m:t>l</m:t>
        </m:r>
        <m:r>
          <m:t>l</m:t>
        </m:r>
        <m:r>
          <m:t>i</m:t>
        </m:r>
        <m:r>
          <m:t>o</m:t>
        </m:r>
        <m:r>
          <m:t>n</m:t>
        </m:r>
        <m:r>
          <m:rPr>
            <m:sty m:val="p"/>
          </m:rPr>
          <m:t>*</m:t>
        </m:r>
        <m:r>
          <m:rPr>
            <m:sty m:val="p"/>
          </m:rPr>
          <m:t>*</m:t>
        </m:r>
        <m:r>
          <m:rPr>
            <m:sty m:val="p"/>
          </m:rPr>
          <m:t>,</m:t>
        </m:r>
        <m:r>
          <m:t>c</m:t>
        </m:r>
        <m:r>
          <m:t>o</m:t>
        </m:r>
        <m:r>
          <m:t>m</m:t>
        </m:r>
        <m:r>
          <m:t>p</m:t>
        </m:r>
        <m:r>
          <m:t>a</m:t>
        </m:r>
        <m:r>
          <m:t>r</m:t>
        </m:r>
        <m:r>
          <m:t>e</m:t>
        </m:r>
        <m:r>
          <m:t>d</m:t>
        </m:r>
        <m:r>
          <m:t>w</m:t>
        </m:r>
        <m:r>
          <m:t>i</m:t>
        </m:r>
        <m:r>
          <m:t>t</m:t>
        </m:r>
        <m:r>
          <m:t>h</m:t>
        </m:r>
        <m:r>
          <m:rPr>
            <m:sty m:val="p"/>
          </m:rPr>
          <m:t>*</m:t>
        </m:r>
        <m:r>
          <m:rPr>
            <m:sty m:val="p"/>
          </m:rPr>
          <m:t>*</m:t>
        </m:r>
      </m:oMath>
      <w:r>
        <w:rPr>
          <w:b/>
          <w:bCs/>
        </w:rPr>
        <w:t xml:space="preserve">47 million</w:t>
      </w:r>
      <w:r>
        <w:t xml:space="preserve"> </w:t>
      </w:r>
      <w:r>
        <w:t xml:space="preserve">a year earlier. That accounting presentation reduced reported video revenue and residential revenue per customer even as the bundled offering may improve customer value and retention.</w:t>
      </w:r>
    </w:p>
    <w:p>
      <w:pPr>
        <w:pStyle w:val="BodyText"/>
      </w:pPr>
      <w:r>
        <w:rPr>
          <w:b/>
          <w:bCs/>
        </w:rPr>
        <w:t xml:space="preserve">Investor focus:</w:t>
      </w:r>
      <w:r>
        <w:t xml:space="preserve"> </w:t>
      </w:r>
      <w:r>
        <w:t xml:space="preserve">distinguish between reported video-revenue pressure and the underlying retention/household-economics benefit of the revised package.</w:t>
      </w:r>
    </w:p>
    <w:p>
      <w:r>
        <w:pict>
          <v:rect style="width:0;height:1.5pt" o:hralign="center" o:hrstd="t" o:hr="t"/>
        </w:pict>
      </w:r>
    </w:p>
    <w:bookmarkEnd w:id="16"/>
    <w:bookmarkStart w:id="18" w:name="Xf5161b9e91b4413c3383a2bd34a9e0a41e54c72"/>
    <w:p>
      <w:pPr>
        <w:pStyle w:val="Heading2"/>
      </w:pPr>
      <w:r>
        <w:t xml:space="preserve">Financial outlook: EBITDA and free cash flow are the second debate</w:t>
      </w:r>
    </w:p>
    <w:p>
      <w:pPr>
        <w:pStyle w:val="FirstParagraph"/>
      </w:pPr>
      <w:r>
        <w:t xml:space="preserve">In 1Q26, Charter reported:</w:t>
      </w:r>
    </w:p>
    <w:p>
      <w:pPr>
        <w:pStyle w:val="Compact"/>
        <w:numPr>
          <w:ilvl w:val="0"/>
          <w:numId w:val="1004"/>
        </w:numPr>
      </w:pPr>
      <w:r>
        <w:rPr>
          <w:b/>
          <w:bCs/>
        </w:rPr>
        <w:t xml:space="preserve">Revenue:</w:t>
      </w:r>
      <w:r>
        <w:t xml:space="preserve"> </w:t>
      </w:r>
      <w:r>
        <w:t xml:space="preserve">$13.6B,</w:t>
      </w:r>
      <w:r>
        <w:t xml:space="preserve"> </w:t>
      </w:r>
      <w:r>
        <w:rPr>
          <w:b/>
          <w:bCs/>
        </w:rPr>
        <w:t xml:space="preserve">-1.0% YoY</w:t>
      </w:r>
    </w:p>
    <w:p>
      <w:pPr>
        <w:pStyle w:val="Compact"/>
        <w:numPr>
          <w:ilvl w:val="0"/>
          <w:numId w:val="1004"/>
        </w:numPr>
      </w:pPr>
      <w:r>
        <w:rPr>
          <w:b/>
          <w:bCs/>
        </w:rPr>
        <w:t xml:space="preserve">Adjusted EBITDA:</w:t>
      </w:r>
      <w:r>
        <w:t xml:space="preserve"> </w:t>
      </w:r>
      <w:r>
        <w:t xml:space="preserve">$5.64B,</w:t>
      </w:r>
      <w:r>
        <w:t xml:space="preserve"> </w:t>
      </w:r>
      <w:r>
        <w:rPr>
          <w:b/>
          <w:bCs/>
        </w:rPr>
        <w:t xml:space="preserve">-2.2% YoY</w:t>
      </w:r>
    </w:p>
    <w:p>
      <w:pPr>
        <w:pStyle w:val="Compact"/>
        <w:numPr>
          <w:ilvl w:val="0"/>
          <w:numId w:val="1004"/>
        </w:numPr>
      </w:pPr>
      <w:r>
        <w:rPr>
          <w:b/>
          <w:bCs/>
        </w:rPr>
        <w:t xml:space="preserve">Free cash flow:</w:t>
      </w:r>
      <w:r>
        <w:t xml:space="preserve"> </w:t>
      </w:r>
      <w:r>
        <w:t xml:space="preserve">$1.37B,</w:t>
      </w:r>
      <w:r>
        <w:t xml:space="preserve"> </w:t>
      </w:r>
      <w:r>
        <w:rPr>
          <w:b/>
          <w:bCs/>
        </w:rPr>
        <w:t xml:space="preserve">-12.3% YoY</w:t>
      </w:r>
    </w:p>
    <w:p>
      <w:pPr>
        <w:pStyle w:val="Compact"/>
        <w:numPr>
          <w:ilvl w:val="0"/>
          <w:numId w:val="1004"/>
        </w:numPr>
      </w:pPr>
      <w:r>
        <w:rPr>
          <w:b/>
          <w:bCs/>
        </w:rPr>
        <w:t xml:space="preserve">Capex:</w:t>
      </w:r>
      <w:r>
        <w:t xml:space="preserve"> </w:t>
      </w:r>
      <w:r>
        <w:t xml:space="preserve">$2.86B,</w:t>
      </w:r>
      <w:r>
        <w:t xml:space="preserve"> </w:t>
      </w:r>
      <w:r>
        <w:rPr>
          <w:b/>
          <w:bCs/>
        </w:rPr>
        <w:t xml:space="preserve">+19% YoY</w:t>
      </w:r>
    </w:p>
    <w:p>
      <w:pPr>
        <w:pStyle w:val="FirstParagraph"/>
      </w:pPr>
      <w:r>
        <w:t xml:space="preserve">Management’s 2026 stand-alone framework remains:</w:t>
      </w:r>
    </w:p>
    <w:p>
      <w:pPr>
        <w:pStyle w:val="Compact"/>
        <w:numPr>
          <w:ilvl w:val="0"/>
          <w:numId w:val="1005"/>
        </w:numPr>
      </w:pPr>
      <w:r>
        <w:t xml:space="preserve">Approximately</w:t>
      </w:r>
      <w:r>
        <w:t xml:space="preserve"> </w:t>
      </w:r>
      <w:r>
        <w:rPr>
          <w:b/>
          <w:bCs/>
        </w:rPr>
        <w:t xml:space="preserve">$11.4B of capex</w:t>
      </w:r>
      <w:r>
        <w:t xml:space="preserve"> </w:t>
      </w:r>
      <w:r>
        <w:t xml:space="preserve">for the full year, excluding Cox-related impacts.</w:t>
      </w:r>
    </w:p>
    <w:p>
      <w:pPr>
        <w:pStyle w:val="Compact"/>
        <w:numPr>
          <w:ilvl w:val="0"/>
          <w:numId w:val="1005"/>
        </w:numPr>
      </w:pPr>
      <w:r>
        <w:rPr>
          <w:b/>
          <w:bCs/>
        </w:rPr>
        <w:t xml:space="preserve">Slight EBITDA growth</w:t>
      </w:r>
      <w:r>
        <w:t xml:space="preserve"> </w:t>
      </w:r>
      <w:r>
        <w:t xml:space="preserve">for 2026 excluding Cox transition costs, aided by political advertising.</w:t>
      </w:r>
    </w:p>
    <w:p>
      <w:pPr>
        <w:pStyle w:val="Compact"/>
        <w:numPr>
          <w:ilvl w:val="0"/>
          <w:numId w:val="1005"/>
        </w:numPr>
      </w:pPr>
      <w:r>
        <w:t xml:space="preserve">Capex expected to move meaningfully lower after network-evolution and expansion programs are completed; management has indicated a run-rate below</w:t>
      </w:r>
      <w:r>
        <w:t xml:space="preserve"> </w:t>
      </w:r>
      <w:r>
        <w:rPr>
          <w:b/>
          <w:bCs/>
        </w:rPr>
        <w:t xml:space="preserve">$8B annually</w:t>
      </w:r>
      <w:r>
        <w:t xml:space="preserve"> </w:t>
      </w:r>
      <w:r>
        <w:t xml:space="preserve">after these initiatives conclude.</w:t>
      </w:r>
    </w:p>
    <w:p>
      <w:pPr>
        <w:pStyle w:val="FirstParagraph"/>
      </w:pPr>
      <w:r>
        <w:t xml:space="preserve">This makes 2Q free cash flow particularly relevant. Charter generated</w:t>
      </w:r>
      <w:r>
        <w:t xml:space="preserve"> </w:t>
      </w:r>
      <m:oMath>
        <m:r>
          <m:t>1.05</m:t>
        </m:r>
        <m:r>
          <m:t>B</m:t>
        </m:r>
        <m:r>
          <m:rPr>
            <m:sty m:val="p"/>
          </m:rPr>
          <m:t>*</m:t>
        </m:r>
        <m:r>
          <m:rPr>
            <m:sty m:val="p"/>
          </m:rPr>
          <m:t>*</m:t>
        </m:r>
        <m:r>
          <m:t>o</m:t>
        </m:r>
        <m:r>
          <m:t>f</m:t>
        </m:r>
        <m:r>
          <m:t>F</m:t>
        </m:r>
        <m:r>
          <m:t>C</m:t>
        </m:r>
        <m:r>
          <m:t>F</m:t>
        </m:r>
        <m:r>
          <m:t>i</m:t>
        </m:r>
        <m:r>
          <m:t>n</m:t>
        </m:r>
        <m:r>
          <m:t>2</m:t>
        </m:r>
        <m:r>
          <m:t>Q</m:t>
        </m:r>
        <m:r>
          <m:t>25</m:t>
        </m:r>
        <m:r>
          <m:rPr>
            <m:sty m:val="p"/>
          </m:rPr>
          <m:t>,</m:t>
        </m:r>
        <m:r>
          <m:t>w</m:t>
        </m:r>
        <m:r>
          <m:t>h</m:t>
        </m:r>
        <m:r>
          <m:t>i</m:t>
        </m:r>
        <m:r>
          <m:t>l</m:t>
        </m:r>
        <m:r>
          <m:t>e</m:t>
        </m:r>
        <m:r>
          <m:t>c</m:t>
        </m:r>
        <m:r>
          <m:t>o</m:t>
        </m:r>
        <m:r>
          <m:t>n</m:t>
        </m:r>
        <m:r>
          <m:t>s</m:t>
        </m:r>
        <m:r>
          <m:t>e</m:t>
        </m:r>
        <m:r>
          <m:t>n</m:t>
        </m:r>
        <m:r>
          <m:t>s</m:t>
        </m:r>
        <m:r>
          <m:t>u</m:t>
        </m:r>
        <m:r>
          <m:t>s</m:t>
        </m:r>
        <m:r>
          <m:t>i</m:t>
        </m:r>
        <m:r>
          <m:t>s</m:t>
        </m:r>
        <m:r>
          <m:t>n</m:t>
        </m:r>
        <m:r>
          <m:t>e</m:t>
        </m:r>
        <m:r>
          <m:t>a</m:t>
        </m:r>
        <m:r>
          <m:t>r</m:t>
        </m:r>
        <m:r>
          <m:rPr>
            <m:sty m:val="p"/>
          </m:rPr>
          <m:t>*</m:t>
        </m:r>
        <m:r>
          <m:rPr>
            <m:sty m:val="p"/>
          </m:rPr>
          <m:t>*</m:t>
        </m:r>
      </m:oMath>
      <w:r>
        <w:rPr>
          <w:b/>
          <w:bCs/>
        </w:rPr>
        <w:t xml:space="preserve">1.13B</w:t>
      </w:r>
      <w:r>
        <w:t xml:space="preserve"> </w:t>
      </w:r>
      <w:r>
        <w:t xml:space="preserve">for 2Q26. A beat driven by lower capex or favorable working-capital timing will be less valuable than one supported by better underlying EBITDA or a more favorable full-year capex outlook.</w:t>
      </w:r>
    </w:p>
    <w:bookmarkStart w:id="17" w:name="the-financial-watch-list"/>
    <w:p>
      <w:pPr>
        <w:pStyle w:val="Heading3"/>
      </w:pPr>
      <w:r>
        <w:t xml:space="preserve">The financial watch list</w:t>
      </w:r>
    </w:p>
    <w:p>
      <w:pPr>
        <w:pStyle w:val="Compact"/>
        <w:numPr>
          <w:ilvl w:val="0"/>
          <w:numId w:val="1006"/>
        </w:numPr>
      </w:pPr>
      <w:r>
        <w:t xml:space="preserve">Does management reaffirm approximately</w:t>
      </w:r>
      <w:r>
        <w:t xml:space="preserve"> </w:t>
      </w:r>
      <w:r>
        <w:rPr>
          <w:b/>
          <w:bCs/>
        </w:rPr>
        <w:t xml:space="preserve">$11.4B</w:t>
      </w:r>
      <w:r>
        <w:t xml:space="preserve"> </w:t>
      </w:r>
      <w:r>
        <w:t xml:space="preserve">in 2026 capex?</w:t>
      </w:r>
    </w:p>
    <w:p>
      <w:pPr>
        <w:pStyle w:val="Compact"/>
        <w:numPr>
          <w:ilvl w:val="0"/>
          <w:numId w:val="1006"/>
        </w:numPr>
      </w:pPr>
      <w:r>
        <w:t xml:space="preserve">Is the “slight EBITDA growth” outlook still intact excluding transition costs?</w:t>
      </w:r>
    </w:p>
    <w:p>
      <w:pPr>
        <w:pStyle w:val="Compact"/>
        <w:numPr>
          <w:ilvl w:val="0"/>
          <w:numId w:val="1006"/>
        </w:numPr>
      </w:pPr>
      <w:r>
        <w:t xml:space="preserve">Are transition expenses rising as Cox closing/integration approaches?</w:t>
      </w:r>
    </w:p>
    <w:p>
      <w:pPr>
        <w:pStyle w:val="Compact"/>
        <w:numPr>
          <w:ilvl w:val="0"/>
          <w:numId w:val="1006"/>
        </w:numPr>
      </w:pPr>
      <w:r>
        <w:t xml:space="preserve">Does FCF support continued buybacks while the company manages transaction-related leverage?</w:t>
      </w:r>
    </w:p>
    <w:p>
      <w:r>
        <w:pict>
          <v:rect style="width:0;height:1.5pt" o:hralign="center" o:hrstd="t" o:hr="t"/>
        </w:pict>
      </w:r>
    </w:p>
    <w:bookmarkEnd w:id="17"/>
    <w:bookmarkEnd w:id="18"/>
    <w:bookmarkStart w:id="20" w:name="X571026dfd3b2890e6e24ffbc9773fe9a3da30c1"/>
    <w:p>
      <w:pPr>
        <w:pStyle w:val="Heading2"/>
      </w:pPr>
      <w:r>
        <w:t xml:space="preserve">Cox transaction: likely the most consequential call topic</w:t>
      </w:r>
    </w:p>
    <w:p>
      <w:pPr>
        <w:pStyle w:val="FirstParagraph"/>
      </w:pPr>
      <w:r>
        <w:t xml:space="preserve">At the 1Q26 call, management said all required approvals had been received</w:t>
      </w:r>
      <w:r>
        <w:t xml:space="preserve"> </w:t>
      </w:r>
      <w:r>
        <w:rPr>
          <w:b/>
          <w:bCs/>
        </w:rPr>
        <w:t xml:space="preserve">except California</w:t>
      </w:r>
      <w:r>
        <w:t xml:space="preserve">, and it was working toward a</w:t>
      </w:r>
      <w:r>
        <w:t xml:space="preserve"> </w:t>
      </w:r>
      <w:r>
        <w:rPr>
          <w:b/>
          <w:bCs/>
        </w:rPr>
        <w:t xml:space="preserve">summer 2026 close</w:t>
      </w:r>
      <w:r>
        <w:t xml:space="preserve">. The company had increased its estimate of Cox run-rate operating-expense synergies to at least</w:t>
      </w:r>
      <w:r>
        <w:t xml:space="preserve"> </w:t>
      </w:r>
      <w:r>
        <w:rPr>
          <w:b/>
          <w:bCs/>
        </w:rPr>
        <w:t xml:space="preserve">$800 million</w:t>
      </w:r>
      <w:r>
        <w:t xml:space="preserve">, up from an earlier $500 million estimate.</w:t>
      </w:r>
    </w:p>
    <w:p>
      <w:pPr>
        <w:pStyle w:val="BodyText"/>
      </w:pPr>
      <w:r>
        <w:t xml:space="preserve">The strategic appeal is clear:</w:t>
      </w:r>
    </w:p>
    <w:p>
      <w:pPr>
        <w:pStyle w:val="Compact"/>
        <w:numPr>
          <w:ilvl w:val="0"/>
          <w:numId w:val="1007"/>
        </w:numPr>
      </w:pPr>
      <w:r>
        <w:t xml:space="preserve">A combined footprint of more than</w:t>
      </w:r>
      <w:r>
        <w:t xml:space="preserve"> </w:t>
      </w:r>
      <w:r>
        <w:rPr>
          <w:b/>
          <w:bCs/>
        </w:rPr>
        <w:t xml:space="preserve">70 million passings</w:t>
      </w:r>
      <w:r>
        <w:t xml:space="preserve"> </w:t>
      </w:r>
      <w:r>
        <w:t xml:space="preserve">on a pro forma basis.</w:t>
      </w:r>
    </w:p>
    <w:p>
      <w:pPr>
        <w:pStyle w:val="Compact"/>
        <w:numPr>
          <w:ilvl w:val="0"/>
          <w:numId w:val="1007"/>
        </w:numPr>
      </w:pPr>
      <w:r>
        <w:t xml:space="preserve">Opportunity to bring Spectrum’s lower broadband pricing, mobile offers, video packaging, stores, field sales, and operating playbook to Cox markets.</w:t>
      </w:r>
    </w:p>
    <w:p>
      <w:pPr>
        <w:pStyle w:val="Compact"/>
        <w:numPr>
          <w:ilvl w:val="0"/>
          <w:numId w:val="1007"/>
        </w:numPr>
      </w:pPr>
      <w:r>
        <w:t xml:space="preserve">Low Cox mobile and video penetration offers cross-sell potential.</w:t>
      </w:r>
    </w:p>
    <w:p>
      <w:pPr>
        <w:pStyle w:val="Compact"/>
        <w:numPr>
          <w:ilvl w:val="0"/>
          <w:numId w:val="1007"/>
        </w:numPr>
      </w:pPr>
      <w:r>
        <w:t xml:space="preserve">Potential procurement, programming, overhead, commercial, and capital-spending synergies.</w:t>
      </w:r>
    </w:p>
    <w:p>
      <w:pPr>
        <w:pStyle w:val="FirstParagraph"/>
      </w:pPr>
      <w:r>
        <w:t xml:space="preserve">But investors will be attentive to the costs:</w:t>
      </w:r>
    </w:p>
    <w:p>
      <w:pPr>
        <w:pStyle w:val="Compact"/>
        <w:numPr>
          <w:ilvl w:val="0"/>
          <w:numId w:val="1008"/>
        </w:numPr>
      </w:pPr>
      <w:r>
        <w:t xml:space="preserve">Charter expects to issue roughly</w:t>
      </w:r>
      <w:r>
        <w:t xml:space="preserve"> </w:t>
      </w:r>
      <w:r>
        <w:rPr>
          <w:b/>
          <w:bCs/>
        </w:rPr>
        <w:t xml:space="preserve">46 million</w:t>
      </w:r>
      <w:r>
        <w:t xml:space="preserve"> </w:t>
      </w:r>
      <w:r>
        <w:t xml:space="preserve">Charter common/preferred partnership units to Cox Enterprises at closing, partly offset by approximately</w:t>
      </w:r>
      <w:r>
        <w:t xml:space="preserve"> </w:t>
      </w:r>
      <w:r>
        <w:rPr>
          <w:b/>
          <w:bCs/>
        </w:rPr>
        <w:t xml:space="preserve">6.8 million</w:t>
      </w:r>
      <w:r>
        <w:t xml:space="preserve"> </w:t>
      </w:r>
      <w:r>
        <w:t xml:space="preserve">net shares associated with the Liberty Broadband transaction.</w:t>
      </w:r>
    </w:p>
    <w:p>
      <w:pPr>
        <w:pStyle w:val="Compact"/>
        <w:numPr>
          <w:ilvl w:val="0"/>
          <w:numId w:val="1008"/>
        </w:numPr>
      </w:pPr>
      <w:r>
        <w:t xml:space="preserve">Leverage was</w:t>
      </w:r>
      <w:r>
        <w:t xml:space="preserve"> </w:t>
      </w:r>
      <w:r>
        <w:rPr>
          <w:b/>
          <w:bCs/>
        </w:rPr>
        <w:t xml:space="preserve">4.15x net debt/LTM EBITDA</w:t>
      </w:r>
      <w:r>
        <w:t xml:space="preserve"> </w:t>
      </w:r>
      <w:r>
        <w:t xml:space="preserve">at the end of 1Q26, or</w:t>
      </w:r>
      <w:r>
        <w:t xml:space="preserve"> </w:t>
      </w:r>
      <w:r>
        <w:rPr>
          <w:b/>
          <w:bCs/>
        </w:rPr>
        <w:t xml:space="preserve">4.22x pro forma for Liberty Broadband</w:t>
      </w:r>
      <w:r>
        <w:t xml:space="preserve">.</w:t>
      </w:r>
    </w:p>
    <w:p>
      <w:pPr>
        <w:pStyle w:val="Compact"/>
        <w:numPr>
          <w:ilvl w:val="0"/>
          <w:numId w:val="1008"/>
        </w:numPr>
      </w:pPr>
      <w:r>
        <w:t xml:space="preserve">Management plans to remain at or slightly below</w:t>
      </w:r>
      <w:r>
        <w:t xml:space="preserve"> </w:t>
      </w:r>
      <w:r>
        <w:rPr>
          <w:b/>
          <w:bCs/>
        </w:rPr>
        <w:t xml:space="preserve">4.25x</w:t>
      </w:r>
      <w:r>
        <w:t xml:space="preserve"> </w:t>
      </w:r>
      <w:r>
        <w:t xml:space="preserve">during the transaction period, then target the low end of a</w:t>
      </w:r>
      <w:r>
        <w:t xml:space="preserve"> </w:t>
      </w:r>
      <w:r>
        <w:rPr>
          <w:b/>
          <w:bCs/>
        </w:rPr>
        <w:t xml:space="preserve">3.5x–3.75x</w:t>
      </w:r>
      <w:r>
        <w:t xml:space="preserve"> </w:t>
      </w:r>
      <w:r>
        <w:t xml:space="preserve">leverage range within three years after close.</w:t>
      </w:r>
    </w:p>
    <w:bookmarkStart w:id="19" w:name="what-investors-need-from-the-call"/>
    <w:p>
      <w:pPr>
        <w:pStyle w:val="Heading3"/>
      </w:pPr>
      <w:r>
        <w:t xml:space="preserve">What investors need from the call</w:t>
      </w:r>
    </w:p>
    <w:p>
      <w:pPr>
        <w:pStyle w:val="Compact"/>
        <w:numPr>
          <w:ilvl w:val="0"/>
          <w:numId w:val="1009"/>
        </w:numPr>
      </w:pPr>
      <w:r>
        <w:rPr>
          <w:b/>
          <w:bCs/>
        </w:rPr>
        <w:t xml:space="preserve">Is the California approval process complete, and is closing imminent?</w:t>
      </w:r>
    </w:p>
    <w:p>
      <w:pPr>
        <w:pStyle w:val="Compact"/>
        <w:numPr>
          <w:ilvl w:val="0"/>
          <w:numId w:val="1009"/>
        </w:numPr>
      </w:pPr>
      <w:r>
        <w:rPr>
          <w:b/>
          <w:bCs/>
        </w:rPr>
        <w:t xml:space="preserve">Has the expected closing date changed from the prior “summer” framework?</w:t>
      </w:r>
    </w:p>
    <w:p>
      <w:pPr>
        <w:pStyle w:val="Compact"/>
        <w:numPr>
          <w:ilvl w:val="0"/>
          <w:numId w:val="1009"/>
        </w:numPr>
      </w:pPr>
      <w:r>
        <w:rPr>
          <w:b/>
          <w:bCs/>
        </w:rPr>
        <w:t xml:space="preserve">Are $800M-plus synergies still credible, and what is the timing of realization?</w:t>
      </w:r>
    </w:p>
    <w:p>
      <w:pPr>
        <w:pStyle w:val="Compact"/>
        <w:numPr>
          <w:ilvl w:val="0"/>
          <w:numId w:val="1009"/>
        </w:numPr>
      </w:pPr>
      <w:r>
        <w:rPr>
          <w:b/>
          <w:bCs/>
        </w:rPr>
        <w:t xml:space="preserve">What will reported results look like in the first post-close quarter?</w:t>
      </w:r>
    </w:p>
    <w:p>
      <w:pPr>
        <w:pStyle w:val="Compact"/>
        <w:numPr>
          <w:ilvl w:val="0"/>
          <w:numId w:val="1009"/>
        </w:numPr>
      </w:pPr>
      <w:r>
        <w:rPr>
          <w:b/>
          <w:bCs/>
        </w:rPr>
        <w:t xml:space="preserve">How much incremental integration capex and transition expense should investors expect?</w:t>
      </w:r>
    </w:p>
    <w:p>
      <w:pPr>
        <w:pStyle w:val="FirstParagraph"/>
      </w:pPr>
      <w:r>
        <w:t xml:space="preserve">The first reported post-close quarter will be inherently noisy because it will include a full quarter of legacy Charter plus only a partial-period contribution from Cox. Management has said it plans to provide pro forma trend disclosures and separate legacy operating data for several quarters, which will be important for preserving visibility.</w:t>
      </w:r>
    </w:p>
    <w:p>
      <w:r>
        <w:pict>
          <v:rect style="width:0;height:1.5pt" o:hralign="center" o:hrstd="t" o:hr="t"/>
        </w:pict>
      </w:r>
    </w:p>
    <w:bookmarkEnd w:id="19"/>
    <w:bookmarkEnd w:id="20"/>
    <w:bookmarkStart w:id="23" w:name="catalysts"/>
    <w:p>
      <w:pPr>
        <w:pStyle w:val="Heading2"/>
      </w:pPr>
      <w:r>
        <w:t xml:space="preserve">Catalysts</w:t>
      </w:r>
    </w:p>
    <w:bookmarkStart w:id="21" w:name="potential-positives"/>
    <w:p>
      <w:pPr>
        <w:pStyle w:val="Heading3"/>
      </w:pPr>
      <w:r>
        <w:t xml:space="preserve">Potential positives</w:t>
      </w:r>
    </w:p>
    <w:p>
      <w:pPr>
        <w:pStyle w:val="Compact"/>
        <w:numPr>
          <w:ilvl w:val="0"/>
          <w:numId w:val="1010"/>
        </w:numPr>
      </w:pPr>
      <w:r>
        <w:t xml:space="preserve">Broadband losses better than the roughly</w:t>
      </w:r>
      <w:r>
        <w:t xml:space="preserve"> </w:t>
      </w:r>
      <w:r>
        <w:rPr>
          <w:b/>
          <w:bCs/>
        </w:rPr>
        <w:t xml:space="preserve">142,000</w:t>
      </w:r>
      <w:r>
        <w:t xml:space="preserve"> </w:t>
      </w:r>
      <w:r>
        <w:t xml:space="preserve">consensus expectation.</w:t>
      </w:r>
    </w:p>
    <w:p>
      <w:pPr>
        <w:pStyle w:val="Compact"/>
        <w:numPr>
          <w:ilvl w:val="0"/>
          <w:numId w:val="1010"/>
        </w:numPr>
      </w:pPr>
      <w:r>
        <w:t xml:space="preserve">A clear improvement in gross-add trends or low-income customer acquisition.</w:t>
      </w:r>
    </w:p>
    <w:p>
      <w:pPr>
        <w:pStyle w:val="Compact"/>
        <w:numPr>
          <w:ilvl w:val="0"/>
          <w:numId w:val="1010"/>
        </w:numPr>
      </w:pPr>
      <w:r>
        <w:t xml:space="preserve">Mobile net adds near or above expectations without an apparent increase in subsidy intensity.</w:t>
      </w:r>
    </w:p>
    <w:p>
      <w:pPr>
        <w:pStyle w:val="Compact"/>
        <w:numPr>
          <w:ilvl w:val="0"/>
          <w:numId w:val="1010"/>
        </w:numPr>
      </w:pPr>
      <w:r>
        <w:t xml:space="preserve">Reaffirmed capex and EBITDA outlook.</w:t>
      </w:r>
    </w:p>
    <w:p>
      <w:pPr>
        <w:pStyle w:val="Compact"/>
        <w:numPr>
          <w:ilvl w:val="0"/>
          <w:numId w:val="1010"/>
        </w:numPr>
      </w:pPr>
      <w:r>
        <w:t xml:space="preserve">Concrete Cox closing timing, regulatory resolution, or increased synergy confidence.</w:t>
      </w:r>
    </w:p>
    <w:p>
      <w:pPr>
        <w:pStyle w:val="Compact"/>
        <w:numPr>
          <w:ilvl w:val="0"/>
          <w:numId w:val="1010"/>
        </w:numPr>
      </w:pPr>
      <w:r>
        <w:t xml:space="preserve">Continued video-loss improvement and favorable evidence that the new bundles reduce churn.</w:t>
      </w:r>
    </w:p>
    <w:bookmarkEnd w:id="21"/>
    <w:bookmarkStart w:id="22" w:name="potential-negatives"/>
    <w:p>
      <w:pPr>
        <w:pStyle w:val="Heading3"/>
      </w:pPr>
      <w:r>
        <w:t xml:space="preserve">Potential negatives</w:t>
      </w:r>
    </w:p>
    <w:p>
      <w:pPr>
        <w:pStyle w:val="Compact"/>
        <w:numPr>
          <w:ilvl w:val="0"/>
          <w:numId w:val="1011"/>
        </w:numPr>
      </w:pPr>
      <w:r>
        <w:t xml:space="preserve">Broadband losses materially worse than consensus or evidence of broadening competitive deterioration.</w:t>
      </w:r>
    </w:p>
    <w:p>
      <w:pPr>
        <w:pStyle w:val="Compact"/>
        <w:numPr>
          <w:ilvl w:val="0"/>
          <w:numId w:val="1011"/>
        </w:numPr>
      </w:pPr>
      <w:r>
        <w:t xml:space="preserve">An unfavorable Internet-ARPU outcome caused by more aggressive retention/acquisition offers.</w:t>
      </w:r>
    </w:p>
    <w:p>
      <w:pPr>
        <w:pStyle w:val="Compact"/>
        <w:numPr>
          <w:ilvl w:val="0"/>
          <w:numId w:val="1011"/>
        </w:numPr>
      </w:pPr>
      <w:r>
        <w:t xml:space="preserve">EBITDA miss due to mobile costs, promotional activity, or operating expense pressure.</w:t>
      </w:r>
    </w:p>
    <w:p>
      <w:pPr>
        <w:pStyle w:val="Compact"/>
        <w:numPr>
          <w:ilvl w:val="0"/>
          <w:numId w:val="1011"/>
        </w:numPr>
      </w:pPr>
      <w:r>
        <w:t xml:space="preserve">Capex outlook moving higher or FCF underperforming because of cash interest, working capital, or elevated network spend.</w:t>
      </w:r>
    </w:p>
    <w:p>
      <w:pPr>
        <w:pStyle w:val="Compact"/>
        <w:numPr>
          <w:ilvl w:val="0"/>
          <w:numId w:val="1011"/>
        </w:numPr>
      </w:pPr>
      <w:r>
        <w:t xml:space="preserve">Cox closing delay, higher transition costs, or a less favorable deleveraging trajectory.</w:t>
      </w:r>
    </w:p>
    <w:p>
      <w:pPr>
        <w:pStyle w:val="Compact"/>
        <w:numPr>
          <w:ilvl w:val="0"/>
          <w:numId w:val="1011"/>
        </w:numPr>
      </w:pPr>
      <w:r>
        <w:t xml:space="preserve">More explicit management concern around satellite broadband or a worsening fixed-wireless/fiber environment.</w:t>
      </w:r>
    </w:p>
    <w:p>
      <w:r>
        <w:pict>
          <v:rect style="width:0;height:1.5pt" o:hralign="center" o:hrstd="t" o:hr="t"/>
        </w:pict>
      </w:r>
    </w:p>
    <w:bookmarkEnd w:id="22"/>
    <w:bookmarkEnd w:id="23"/>
    <w:bookmarkStart w:id="24" w:name="investment-conclusion"/>
    <w:p>
      <w:pPr>
        <w:pStyle w:val="Heading2"/>
      </w:pPr>
      <w:r>
        <w:t xml:space="preserve">Investment conclusion</w:t>
      </w:r>
    </w:p>
    <w:p>
      <w:pPr>
        <w:pStyle w:val="FirstParagraph"/>
      </w:pPr>
      <w:r>
        <w:t xml:space="preserve">CHTR is a</w:t>
      </w:r>
      <w:r>
        <w:t xml:space="preserve"> </w:t>
      </w:r>
      <w:r>
        <w:rPr>
          <w:b/>
          <w:bCs/>
        </w:rPr>
        <w:t xml:space="preserve">low-expectations, high-KPI-sensitivity</w:t>
      </w:r>
      <w:r>
        <w:t xml:space="preserve"> </w:t>
      </w:r>
      <w:r>
        <w:t xml:space="preserve">earnings setup. The quarterly headline numbers are likely to remain weak—consensus already expects declining revenue and EBITDA—but the stock’s direction should hinge on the answer to two questions:</w:t>
      </w:r>
    </w:p>
    <w:p>
      <w:pPr>
        <w:pStyle w:val="Compact"/>
        <w:numPr>
          <w:ilvl w:val="0"/>
          <w:numId w:val="1012"/>
        </w:numPr>
      </w:pPr>
      <w:r>
        <w:rPr>
          <w:b/>
          <w:bCs/>
        </w:rPr>
        <w:t xml:space="preserve">Are Internet subscriber losses stabilizing, or worsening beyond what is already expected?</w:t>
      </w:r>
    </w:p>
    <w:p>
      <w:pPr>
        <w:pStyle w:val="Compact"/>
        <w:numPr>
          <w:ilvl w:val="0"/>
          <w:numId w:val="1012"/>
        </w:numPr>
      </w:pPr>
      <w:r>
        <w:rPr>
          <w:b/>
          <w:bCs/>
        </w:rPr>
        <w:t xml:space="preserve">Can Cox provide a credible, near-term path to renewed household growth, synergies, and higher long-term free cash flow per share despite leverage and share dilution?</w:t>
      </w:r>
    </w:p>
    <w:p>
      <w:pPr>
        <w:pStyle w:val="FirstParagraph"/>
      </w:pPr>
      <w:r>
        <w:t xml:space="preserve">A result showing broadband losses no worse than expected, resilient mobile additions, maintained financial guidance, and a tangible Cox-closing update could support a relief rally given the severity of the stock’s decline. Conversely, another reset in broadband expectations or uncertainty around Cox would reinforce the market’s concern that Charter’s long-term cash-flow recovery is being pushed out.</w:t>
      </w:r>
    </w:p>
    <w:p>
      <w:r>
        <w:pict>
          <v:rect style="width:0;height:1.5pt" o:hralign="center" o:hrstd="t" o:hr="t"/>
        </w:pict>
      </w:r>
    </w:p>
    <w:bookmarkEnd w:id="24"/>
    <w:bookmarkStart w:id="25" w:name="sources-reviewed"/>
    <w:p>
      <w:pPr>
        <w:pStyle w:val="Heading2"/>
      </w:pPr>
      <w:r>
        <w:t xml:space="preserve">Sources reviewed</w:t>
      </w:r>
    </w:p>
    <w:p>
      <w:pPr>
        <w:pStyle w:val="Compact"/>
        <w:numPr>
          <w:ilvl w:val="0"/>
          <w:numId w:val="1013"/>
        </w:numPr>
      </w:pPr>
      <w:r>
        <w:t xml:space="preserve">Charter 1Q26 earnings release and 1Q26 earnings-call transcript — April 24, 2026</w:t>
      </w:r>
    </w:p>
    <w:p>
      <w:pPr>
        <w:pStyle w:val="Compact"/>
        <w:numPr>
          <w:ilvl w:val="0"/>
          <w:numId w:val="1013"/>
        </w:numPr>
      </w:pPr>
      <w:r>
        <w:t xml:space="preserve">Charter 2Q26 earnings webcast announcement — June 29, 2026</w:t>
      </w:r>
    </w:p>
    <w:p>
      <w:pPr>
        <w:pStyle w:val="Compact"/>
        <w:numPr>
          <w:ilvl w:val="0"/>
          <w:numId w:val="1013"/>
        </w:numPr>
      </w:pPr>
      <w:r>
        <w:t xml:space="preserve">Charter 2Q25 earnings release — July 25, 2025</w:t>
      </w:r>
    </w:p>
    <w:p>
      <w:pPr>
        <w:pStyle w:val="Compact"/>
        <w:numPr>
          <w:ilvl w:val="0"/>
          <w:numId w:val="1013"/>
        </w:numPr>
      </w:pPr>
      <w:r>
        <w:t xml:space="preserve">CHTR daily news and consensus digest — July 17 and July 22, 2026</w:t>
      </w:r>
    </w:p>
    <w:p>
      <w:pPr>
        <w:pStyle w:val="Compact"/>
        <w:numPr>
          <w:ilvl w:val="0"/>
          <w:numId w:val="1013"/>
        </w:numPr>
      </w:pPr>
      <w:r>
        <w:t xml:space="preserve">CHTR historical stock-price data through July 23, 2026</w:t>
      </w:r>
    </w:p>
    <w:bookmarkEnd w:id="25"/>
    <w:bookmarkEnd w:id="2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 w:numId="1011">
    <w:abstractNumId w:val="991"/>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2026-07-24T00:02:54Z</dcterms:created>
  <dcterms:modified xsi:type="dcterms:W3CDTF">2026-07-24T00:02:54Z</dcterms:modified>
</cp:coreProperties>
</file>

<file path=docProps/custom.xml><?xml version="1.0" encoding="utf-8"?>
<Properties xmlns="http://schemas.openxmlformats.org/officeDocument/2006/custom-properties" xmlns:vt="http://schemas.openxmlformats.org/officeDocument/2006/docPropsVTypes"/>
</file>