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Charter Communications (CHTR) — Q2 2026 Earnings Preview</w:t>
      </w:r>
    </w:p>
    <w:p>
      <w:r>
        <w:rPr>
          <w:rFonts w:ascii="Calibri" w:hAnsi="Calibri"/>
          <w:b/>
          <w:color w:val="525866"/>
          <w:sz w:val="22"/>
        </w:rPr>
        <w:t xml:space="preserve">Ticker: </w:t>
      </w:r>
      <w:r>
        <w:rPr>
          <w:rFonts w:ascii="Calibri" w:hAnsi="Calibri"/>
          <w:color w:val="525866"/>
          <w:sz w:val="22"/>
        </w:rPr>
        <w:t xml:space="preserve">CHTR  </w:t>
      </w:r>
      <w:r>
        <w:rPr>
          <w:rFonts w:ascii="Calibri" w:hAnsi="Calibri"/>
          <w:b/>
          <w:color w:val="525866"/>
          <w:sz w:val="22"/>
        </w:rPr>
        <w:t xml:space="preserve">Earnings Date: </w:t>
      </w:r>
      <w:r>
        <w:rPr>
          <w:rFonts w:ascii="Calibri" w:hAnsi="Calibri"/>
          <w:color w:val="525866"/>
          <w:sz w:val="22"/>
        </w:rPr>
        <w:t xml:space="preserve">Late July 2026  </w:t>
      </w:r>
      <w:r>
        <w:rPr>
          <w:rFonts w:ascii="Calibri" w:hAnsi="Calibri"/>
          <w:b/>
          <w:color w:val="525866"/>
          <w:sz w:val="22"/>
        </w:rPr>
        <w:t xml:space="preserve">Prepared: </w:t>
      </w:r>
      <w:r>
        <w:rPr>
          <w:rFonts w:ascii="Calibri" w:hAnsi="Calibri"/>
          <w:color w:val="525866"/>
          <w:sz w:val="22"/>
        </w:rPr>
        <w:t>July 23,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mixed-to-cautious — the bar is low on broadband subs (consensus at ~-141K internet net adds) but </w:t>
      </w:r>
      <w:r>
        <w:rPr>
          <w:rFonts w:ascii="Calibri" w:hAnsi="Calibri"/>
          <w:b/>
          <w:color w:val="525866"/>
          <w:sz w:val="22"/>
        </w:rPr>
        <w:t>ARPU remains the critical swing factor</w:t>
      </w:r>
      <w:r>
        <w:rPr>
          <w:rFonts w:ascii="Calibri" w:hAnsi="Calibri"/>
          <w:color w:val="525866"/>
          <w:sz w:val="22"/>
        </w:rPr>
        <w:t xml:space="preserve">; any signal that the cost pass-through planned for late summer is landing, or that converged ARPU is stabilizing, could be the positive catalyst the stock needs after a historic </w:t>
      </w:r>
      <w:r>
        <w:rPr>
          <w:rFonts w:ascii="Calibri" w:hAnsi="Calibri"/>
          <w:b/>
          <w:color w:val="525866"/>
          <w:sz w:val="22"/>
        </w:rPr>
        <w:t>-47% drawdown</w:t>
      </w:r>
      <w:r>
        <w:rPr>
          <w:rFonts w:ascii="Calibri" w:hAnsi="Calibri"/>
          <w:color w:val="525866"/>
          <w:sz w:val="22"/>
        </w:rPr>
        <w:t xml:space="preserve"> from pre-Q1 levels.</w:t>
      </w:r>
    </w:p>
    <w:p>
      <w:r>
        <w:rPr>
          <w:rFonts w:ascii="Calibri" w:hAnsi="Calibri"/>
          <w:color w:val="525866"/>
          <w:sz w:val="22"/>
        </w:rPr>
        <w:t xml:space="preserve">CHTR heads into Q2 2026 with the stock trading near multi-year lows (~$128, down ~47% from pre-Q1 levels), having suffered its </w:t>
      </w:r>
      <w:r>
        <w:rPr>
          <w:rFonts w:ascii="Calibri" w:hAnsi="Calibri"/>
          <w:b/>
          <w:color w:val="525866"/>
          <w:sz w:val="22"/>
        </w:rPr>
        <w:t>worst single-day decline in company history (-25%)</w:t>
      </w:r>
      <w:r>
        <w:rPr>
          <w:rFonts w:ascii="Calibri" w:hAnsi="Calibri"/>
          <w:color w:val="525866"/>
          <w:sz w:val="22"/>
        </w:rPr>
        <w:t xml:space="preserve"> on April 24 after ARPU commentary spooked investors. The bar is low — consensus expects </w:t>
      </w:r>
      <w:r>
        <w:rPr>
          <w:rFonts w:ascii="Calibri" w:hAnsi="Calibri"/>
          <w:b/>
          <w:color w:val="525866"/>
          <w:sz w:val="22"/>
        </w:rPr>
        <w:t>internet net losses of ~141K</w:t>
      </w:r>
      <w:r>
        <w:rPr>
          <w:rFonts w:ascii="Calibri" w:hAnsi="Calibri"/>
          <w:color w:val="525866"/>
          <w:sz w:val="22"/>
        </w:rPr>
        <w:t xml:space="preserve"> (worse than Q1's -120K) and EBITDA of ~$5.57B, with broadband ARPU expected to remain roughly flat YoY at ~$70.97. Management has deliberately deferred a </w:t>
      </w:r>
      <w:r>
        <w:rPr>
          <w:rFonts w:ascii="Calibri" w:hAnsi="Calibri"/>
          <w:b/>
          <w:color w:val="525866"/>
          <w:sz w:val="22"/>
        </w:rPr>
        <w:t>cost pass-through from Q1 to "later in the summer,"</w:t>
      </w:r>
      <w:r>
        <w:rPr>
          <w:rFonts w:ascii="Calibri" w:hAnsi="Calibri"/>
          <w:color w:val="525866"/>
          <w:sz w:val="22"/>
        </w:rPr>
        <w:t xml:space="preserve"> paired with value enhancements, which could provide a modest ARPU tailwind in Q2 or Q3. The </w:t>
      </w:r>
      <w:r>
        <w:rPr>
          <w:rFonts w:ascii="Calibri" w:hAnsi="Calibri"/>
          <w:b/>
          <w:color w:val="525866"/>
          <w:sz w:val="22"/>
        </w:rPr>
        <w:t>Cox acquisition</w:t>
      </w:r>
      <w:r>
        <w:rPr>
          <w:rFonts w:ascii="Calibri" w:hAnsi="Calibri"/>
          <w:color w:val="525866"/>
          <w:sz w:val="22"/>
        </w:rPr>
        <w:t xml:space="preserve"> remains the key catalyst overhang — California CPUC approval was requested by August 13, and a close would unlock $800M+ in run-rate OpEx synergies and a massive mobile greenfield opportunity. The wildcard is whether CMCSA's Q2 print today (broadband losses of -167K, ARPU -3.8% YoY) reads as a negative read-through for the cable sector broadly, or whether Charter's different pricing strategy (no free line dilution, cost pass-through pending) differentiates the setup.</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525866"/>
          <w:sz w:val="22"/>
        </w:rPr>
        <w:t>low bar on broadband subs</w:t>
      </w:r>
      <w:r>
        <w:rPr>
          <w:rFonts w:ascii="Calibri" w:hAnsi="Calibri"/>
          <w:color w:val="525866"/>
          <w:sz w:val="22"/>
        </w:rPr>
        <w:t xml:space="preserve"> but </w:t>
      </w:r>
      <w:r>
        <w:rPr>
          <w:rFonts w:ascii="Calibri" w:hAnsi="Calibri"/>
          <w:b/>
          <w:color w:val="525866"/>
          <w:sz w:val="22"/>
        </w:rPr>
        <w:t>ARPU is the real swing factor</w:t>
      </w:r>
      <w:r>
        <w:rPr>
          <w:rFonts w:ascii="Calibri" w:hAnsi="Calibri"/>
          <w:color w:val="525866"/>
          <w:sz w:val="22"/>
        </w:rPr>
        <w:t xml:space="preserve"> — any improvement vs. the “close either way to flat” Q1 commentary could re-rate the stock. Mobile net adds (~383K consensus) are a secondary positive catalyst.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w:t>
            </w:r>
          </w:p>
        </w:tc>
        <w:tc>
          <w:tcPr>
            <w:tcW w:type="dxa" w:w="1234"/>
          </w:tcPr>
          <w:p>
            <w:r>
              <w:rPr>
                <w:rFonts w:ascii="Calibri" w:hAnsi="Calibri"/>
                <w:b/>
                <w:sz w:val="22"/>
              </w:rPr>
              <w:t>Q2 2026 Consensus</w:t>
            </w:r>
          </w:p>
        </w:tc>
        <w:tc>
          <w:tcPr>
            <w:tcW w:type="dxa" w:w="1234"/>
          </w:tcPr>
          <w:p>
            <w:r>
              <w:rPr>
                <w:rFonts w:ascii="Calibri" w:hAnsi="Calibri"/>
                <w:b/>
                <w:sz w:val="22"/>
              </w:rPr>
              <w:t>YoY Change</w:t>
            </w:r>
          </w:p>
        </w:tc>
        <w:tc>
          <w:tcPr>
            <w:tcW w:type="dxa" w:w="1234"/>
          </w:tcPr>
          <w:p>
            <w:r>
              <w:rPr>
                <w:rFonts w:ascii="Calibri" w:hAnsi="Calibri"/>
                <w:b/>
                <w:sz w:val="22"/>
              </w:rPr>
              <w:t>Guidance</w:t>
            </w:r>
          </w:p>
        </w:tc>
        <w:tc>
          <w:tcPr>
            <w:tcW w:type="dxa" w:w="1234"/>
          </w:tcPr>
          <w:p>
            <w:r>
              <w:rPr>
                <w:rFonts w:ascii="Calibri" w:hAnsi="Calibri"/>
                <w:b/>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$13.597B</w:t>
            </w:r>
          </w:p>
        </w:tc>
        <w:tc>
          <w:tcPr>
            <w:tcW w:type="dxa" w:w="1234"/>
          </w:tcPr>
          <w:p>
            <w:r>
              <w:rPr>
                <w:rFonts w:ascii="Calibri" w:hAnsi="Calibri"/>
                <w:sz w:val="22"/>
              </w:rPr>
              <w:t>$13.766B</w:t>
            </w:r>
          </w:p>
        </w:tc>
        <w:tc>
          <w:tcPr>
            <w:tcW w:type="dxa" w:w="1234"/>
          </w:tcPr>
          <w:p>
            <w:r>
              <w:rPr>
                <w:rFonts w:ascii="Calibri" w:hAnsi="Calibri"/>
                <w:sz w:val="22"/>
              </w:rPr>
              <w:t>$13.506B</w:t>
            </w:r>
          </w:p>
        </w:tc>
        <w:tc>
          <w:tcPr>
            <w:tcW w:type="dxa" w:w="1234"/>
          </w:tcPr>
          <w:p>
            <w:r>
              <w:rPr>
                <w:rFonts w:ascii="Calibri" w:hAnsi="Calibri"/>
                <w:b/>
                <w:color w:val="E5484D"/>
                <w:sz w:val="22"/>
              </w:rPr>
              <w:t>-1.9%</w:t>
            </w:r>
          </w:p>
        </w:tc>
        <w:tc>
          <w:tcPr>
            <w:tcW w:type="dxa" w:w="1234"/>
          </w:tcPr>
          <w:p>
            <w:r>
              <w:rPr>
                <w:rFonts w:ascii="Calibri" w:hAnsi="Calibri"/>
                <w:sz w:val="22"/>
              </w:rPr>
              <w:t>Slight EBITDA growth FY2026 (ex-Cox transition costs)</w:t>
            </w:r>
          </w:p>
        </w:tc>
        <w:tc>
          <w:tcPr>
            <w:tcW w:type="dxa" w:w="1234"/>
          </w:tcPr>
          <w:p>
            <w:r>
              <w:rPr>
                <w:rFonts w:ascii="Calibri" w:hAnsi="Calibri"/>
                <w:sz w:val="22"/>
              </w:rPr>
              <w:t>N/A</w:t>
            </w:r>
          </w:p>
        </w:tc>
      </w:tr>
      <w:tr>
        <w:tc>
          <w:tcPr>
            <w:tcW w:type="dxa" w:w="1234"/>
          </w:tcPr>
          <w:p>
            <w:r>
              <w:rPr>
                <w:rFonts w:ascii="Calibri" w:hAnsi="Calibri"/>
                <w:sz w:val="22"/>
              </w:rPr>
              <w:t>EBITDA (Operating)</w:t>
            </w:r>
          </w:p>
        </w:tc>
        <w:tc>
          <w:tcPr>
            <w:tcW w:type="dxa" w:w="1234"/>
          </w:tcPr>
          <w:p>
            <w:r>
              <w:rPr>
                <w:rFonts w:ascii="Calibri" w:hAnsi="Calibri"/>
                <w:sz w:val="22"/>
              </w:rPr>
              <w:t>$5.637B</w:t>
            </w:r>
          </w:p>
        </w:tc>
        <w:tc>
          <w:tcPr>
            <w:tcW w:type="dxa" w:w="1234"/>
          </w:tcPr>
          <w:p>
            <w:r>
              <w:rPr>
                <w:rFonts w:ascii="Calibri" w:hAnsi="Calibri"/>
                <w:sz w:val="22"/>
              </w:rPr>
              <w:t>$5.693B</w:t>
            </w:r>
          </w:p>
        </w:tc>
        <w:tc>
          <w:tcPr>
            <w:tcW w:type="dxa" w:w="1234"/>
          </w:tcPr>
          <w:p>
            <w:r>
              <w:rPr>
                <w:rFonts w:ascii="Calibri" w:hAnsi="Calibri"/>
                <w:sz w:val="22"/>
              </w:rPr>
              <w:t>$5.575B</w:t>
            </w:r>
          </w:p>
        </w:tc>
        <w:tc>
          <w:tcPr>
            <w:tcW w:type="dxa" w:w="1234"/>
          </w:tcPr>
          <w:p>
            <w:r>
              <w:rPr>
                <w:rFonts w:ascii="Calibri" w:hAnsi="Calibri"/>
                <w:b/>
                <w:color w:val="E5484D"/>
                <w:sz w:val="22"/>
              </w:rPr>
              <w:t>-2.1%</w:t>
            </w:r>
          </w:p>
        </w:tc>
        <w:tc>
          <w:tcPr>
            <w:tcW w:type="dxa" w:w="1234"/>
          </w:tcPr>
          <w:p>
            <w:r>
              <w:rPr>
                <w:rFonts w:ascii="Calibri" w:hAnsi="Calibri"/>
                <w:sz w:val="22"/>
              </w:rPr>
              <w:t>Slight growth FY2026</w:t>
            </w:r>
          </w:p>
        </w:tc>
        <w:tc>
          <w:tcPr>
            <w:tcW w:type="dxa" w:w="1234"/>
          </w:tcPr>
          <w:p>
            <w:r>
              <w:rPr>
                <w:rFonts w:ascii="Calibri" w:hAnsi="Calibri"/>
                <w:sz w:val="22"/>
              </w:rPr>
              <w:t>~In-line</w:t>
            </w:r>
          </w:p>
        </w:tc>
      </w:tr>
      <w:tr>
        <w:tc>
          <w:tcPr>
            <w:tcW w:type="dxa" w:w="1234"/>
          </w:tcPr>
          <w:p>
            <w:r>
              <w:rPr>
                <w:rFonts w:ascii="Calibri" w:hAnsi="Calibri"/>
                <w:sz w:val="22"/>
              </w:rPr>
              <w:t>EPS (Diluted)</w:t>
            </w:r>
          </w:p>
        </w:tc>
        <w:tc>
          <w:tcPr>
            <w:tcW w:type="dxa" w:w="1234"/>
          </w:tcPr>
          <w:p>
            <w:r>
              <w:rPr>
                <w:rFonts w:ascii="Calibri" w:hAnsi="Calibri"/>
                <w:sz w:val="22"/>
              </w:rPr>
              <w:t>$9.17</w:t>
            </w:r>
          </w:p>
        </w:tc>
        <w:tc>
          <w:tcPr>
            <w:tcW w:type="dxa" w:w="1234"/>
          </w:tcPr>
          <w:p>
            <w:r>
              <w:rPr>
                <w:rFonts w:ascii="Calibri" w:hAnsi="Calibri"/>
                <w:sz w:val="22"/>
              </w:rPr>
              <w:t>$9.18</w:t>
            </w:r>
          </w:p>
        </w:tc>
        <w:tc>
          <w:tcPr>
            <w:tcW w:type="dxa" w:w="1234"/>
          </w:tcPr>
          <w:p>
            <w:r>
              <w:rPr>
                <w:rFonts w:ascii="Calibri" w:hAnsi="Calibri"/>
                <w:sz w:val="22"/>
              </w:rPr>
              <w:t>$10.00</w:t>
            </w:r>
          </w:p>
        </w:tc>
        <w:tc>
          <w:tcPr>
            <w:tcW w:type="dxa" w:w="1234"/>
          </w:tcPr>
          <w:p>
            <w:r>
              <w:rPr>
                <w:rFonts w:ascii="Calibri" w:hAnsi="Calibri"/>
                <w:b/>
                <w:color w:val="30A46C"/>
                <w:sz w:val="22"/>
              </w:rPr>
              <w:t>+8.9%</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Internet Net Adds</w:t>
            </w:r>
          </w:p>
        </w:tc>
        <w:tc>
          <w:tcPr>
            <w:tcW w:type="dxa" w:w="1234"/>
          </w:tcPr>
          <w:p>
            <w:r>
              <w:rPr>
                <w:rFonts w:ascii="Calibri" w:hAnsi="Calibri"/>
                <w:sz w:val="22"/>
              </w:rPr>
              <w:t>-120K</w:t>
            </w:r>
          </w:p>
        </w:tc>
        <w:tc>
          <w:tcPr>
            <w:tcW w:type="dxa" w:w="1234"/>
          </w:tcPr>
          <w:p>
            <w:r>
              <w:rPr>
                <w:rFonts w:ascii="Calibri" w:hAnsi="Calibri"/>
                <w:sz w:val="22"/>
              </w:rPr>
              <w:t>-116K</w:t>
            </w:r>
          </w:p>
        </w:tc>
        <w:tc>
          <w:tcPr>
            <w:tcW w:type="dxa" w:w="1234"/>
          </w:tcPr>
          <w:p>
            <w:r>
              <w:rPr>
                <w:rFonts w:ascii="Calibri" w:hAnsi="Calibri"/>
                <w:sz w:val="22"/>
              </w:rPr>
              <w:t>-141K</w:t>
            </w:r>
          </w:p>
        </w:tc>
        <w:tc>
          <w:tcPr>
            <w:tcW w:type="dxa" w:w="1234"/>
          </w:tcPr>
          <w:p>
            <w:r>
              <w:rPr>
                <w:rFonts w:ascii="Calibri" w:hAnsi="Calibri"/>
                <w:b/>
                <w:color w:val="E5484D"/>
                <w:sz w:val="22"/>
              </w:rPr>
              <w:t>Worse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Mobile Line Net Adds</w:t>
            </w:r>
          </w:p>
        </w:tc>
        <w:tc>
          <w:tcPr>
            <w:tcW w:type="dxa" w:w="1234"/>
          </w:tcPr>
          <w:p>
            <w:r>
              <w:rPr>
                <w:rFonts w:ascii="Calibri" w:hAnsi="Calibri"/>
                <w:sz w:val="22"/>
              </w:rPr>
              <w:t>+368K</w:t>
            </w:r>
          </w:p>
        </w:tc>
        <w:tc>
          <w:tcPr>
            <w:tcW w:type="dxa" w:w="1234"/>
          </w:tcPr>
          <w:p>
            <w:r>
              <w:rPr>
                <w:rFonts w:ascii="Calibri" w:hAnsi="Calibri"/>
                <w:sz w:val="22"/>
              </w:rPr>
              <w:t>+491K</w:t>
            </w:r>
          </w:p>
        </w:tc>
        <w:tc>
          <w:tcPr>
            <w:tcW w:type="dxa" w:w="1234"/>
          </w:tcPr>
          <w:p>
            <w:r>
              <w:rPr>
                <w:rFonts w:ascii="Calibri" w:hAnsi="Calibri"/>
                <w:sz w:val="22"/>
              </w:rPr>
              <w:t>+383K</w:t>
            </w:r>
          </w:p>
        </w:tc>
        <w:tc>
          <w:tcPr>
            <w:tcW w:type="dxa" w:w="1234"/>
          </w:tcPr>
          <w:p>
            <w:r>
              <w:rPr>
                <w:rFonts w:ascii="Calibri" w:hAnsi="Calibri"/>
                <w:b/>
                <w:color w:val="E5484D"/>
                <w:sz w:val="22"/>
              </w:rPr>
              <w:t>-22%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Residential Internet ARPU</w:t>
            </w:r>
          </w:p>
        </w:tc>
        <w:tc>
          <w:tcPr>
            <w:tcW w:type="dxa" w:w="1234"/>
          </w:tcPr>
          <w:p>
            <w:r>
              <w:rPr>
                <w:rFonts w:ascii="Calibri" w:hAnsi="Calibri"/>
                <w:sz w:val="22"/>
              </w:rPr>
              <w:t>$70.72</w:t>
            </w:r>
          </w:p>
        </w:tc>
        <w:tc>
          <w:tcPr>
            <w:tcW w:type="dxa" w:w="1234"/>
          </w:tcPr>
          <w:p>
            <w:r>
              <w:rPr>
                <w:rFonts w:ascii="Calibri" w:hAnsi="Calibri"/>
                <w:sz w:val="22"/>
              </w:rPr>
              <w:t>$71.25</w:t>
            </w:r>
          </w:p>
        </w:tc>
        <w:tc>
          <w:tcPr>
            <w:tcW w:type="dxa" w:w="1234"/>
          </w:tcPr>
          <w:p>
            <w:r>
              <w:rPr>
                <w:rFonts w:ascii="Calibri" w:hAnsi="Calibri"/>
                <w:sz w:val="22"/>
              </w:rPr>
              <w:t>$70.97</w:t>
            </w:r>
          </w:p>
        </w:tc>
        <w:tc>
          <w:tcPr>
            <w:tcW w:type="dxa" w:w="1234"/>
          </w:tcPr>
          <w:p>
            <w:r>
              <w:rPr>
                <w:rFonts w:ascii="Calibri" w:hAnsi="Calibri"/>
                <w:b/>
                <w:color w:val="E5484D"/>
                <w:sz w:val="22"/>
              </w:rPr>
              <w:t>-0.4% YoY</w:t>
            </w:r>
          </w:p>
        </w:tc>
        <w:tc>
          <w:tcPr>
            <w:tcW w:type="dxa" w:w="1234"/>
          </w:tcPr>
          <w:p>
            <w:r>
              <w:rPr>
                <w:rFonts w:ascii="Calibri" w:hAnsi="Calibri"/>
                <w:sz w:val="22"/>
              </w:rPr>
              <w:t>"Close either way to flat" FY2026</w:t>
            </w:r>
          </w:p>
        </w:tc>
        <w:tc>
          <w:tcPr>
            <w:tcW w:type="dxa" w:w="1234"/>
          </w:tcPr>
          <w:p>
            <w:r>
              <w:rPr>
                <w:rFonts w:ascii="Calibri" w:hAnsi="Calibri"/>
                <w:sz w:val="22"/>
              </w:rPr>
              <w:t>~In-line</w:t>
            </w:r>
          </w:p>
        </w:tc>
      </w:tr>
      <w:tr>
        <w:tc>
          <w:tcPr>
            <w:tcW w:type="dxa" w:w="1234"/>
          </w:tcPr>
          <w:p>
            <w:r>
              <w:rPr>
                <w:rFonts w:ascii="Calibri" w:hAnsi="Calibri"/>
                <w:sz w:val="22"/>
              </w:rPr>
              <w:t>Total Mobile Lines (EOP)</w:t>
            </w:r>
          </w:p>
        </w:tc>
        <w:tc>
          <w:tcPr>
            <w:tcW w:type="dxa" w:w="1234"/>
          </w:tcPr>
          <w:p>
            <w:r>
              <w:rPr>
                <w:rFonts w:ascii="Calibri" w:hAnsi="Calibri"/>
                <w:sz w:val="22"/>
              </w:rPr>
              <w:t>12.134M</w:t>
            </w:r>
          </w:p>
        </w:tc>
        <w:tc>
          <w:tcPr>
            <w:tcW w:type="dxa" w:w="1234"/>
          </w:tcPr>
          <w:p>
            <w:r>
              <w:rPr>
                <w:rFonts w:ascii="Calibri" w:hAnsi="Calibri"/>
                <w:sz w:val="22"/>
              </w:rPr>
              <w:t>10.856M</w:t>
            </w:r>
          </w:p>
        </w:tc>
        <w:tc>
          <w:tcPr>
            <w:tcW w:type="dxa" w:w="1234"/>
          </w:tcPr>
          <w:p>
            <w:r>
              <w:rPr>
                <w:rFonts w:ascii="Calibri" w:hAnsi="Calibri"/>
                <w:sz w:val="22"/>
              </w:rPr>
              <w:t>12.517M</w:t>
            </w:r>
          </w:p>
        </w:tc>
        <w:tc>
          <w:tcPr>
            <w:tcW w:type="dxa" w:w="1234"/>
          </w:tcPr>
          <w:p>
            <w:r>
              <w:rPr>
                <w:rFonts w:ascii="Calibri" w:hAnsi="Calibri"/>
                <w:b/>
                <w:color w:val="30A46C"/>
                <w:sz w:val="22"/>
              </w:rPr>
              <w:t>+15.3%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Video Net Adds</w:t>
            </w:r>
          </w:p>
        </w:tc>
        <w:tc>
          <w:tcPr>
            <w:tcW w:type="dxa" w:w="1234"/>
          </w:tcPr>
          <w:p>
            <w:r>
              <w:rPr>
                <w:rFonts w:ascii="Calibri" w:hAnsi="Calibri"/>
                <w:sz w:val="22"/>
              </w:rPr>
              <w:t>-60K</w:t>
            </w:r>
          </w:p>
        </w:tc>
        <w:tc>
          <w:tcPr>
            <w:tcW w:type="dxa" w:w="1234"/>
          </w:tcPr>
          <w:p>
            <w:r>
              <w:rPr>
                <w:rFonts w:ascii="Calibri" w:hAnsi="Calibri"/>
                <w:sz w:val="22"/>
              </w:rPr>
              <w:t>-80K</w:t>
            </w:r>
          </w:p>
        </w:tc>
        <w:tc>
          <w:tcPr>
            <w:tcW w:type="dxa" w:w="1234"/>
          </w:tcPr>
          <w:p>
            <w:r>
              <w:rPr>
                <w:rFonts w:ascii="Calibri" w:hAnsi="Calibri"/>
                <w:sz w:val="22"/>
              </w:rPr>
              <w:t>-63K</w:t>
            </w:r>
          </w:p>
        </w:tc>
        <w:tc>
          <w:tcPr>
            <w:tcW w:type="dxa" w:w="1234"/>
          </w:tcPr>
          <w:p>
            <w:r>
              <w:rPr>
                <w:rFonts w:ascii="Calibri" w:hAnsi="Calibri"/>
                <w:b/>
                <w:color w:val="30A46C"/>
                <w:sz w:val="22"/>
              </w:rPr>
              <w:t>Better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$1.372B</w:t>
            </w:r>
          </w:p>
        </w:tc>
        <w:tc>
          <w:tcPr>
            <w:tcW w:type="dxa" w:w="1234"/>
          </w:tcPr>
          <w:p>
            <w:r>
              <w:rPr>
                <w:rFonts w:ascii="Calibri" w:hAnsi="Calibri"/>
                <w:sz w:val="22"/>
              </w:rPr>
              <w:t>$1.046B</w:t>
            </w:r>
          </w:p>
        </w:tc>
        <w:tc>
          <w:tcPr>
            <w:tcW w:type="dxa" w:w="1234"/>
          </w:tcPr>
          <w:p>
            <w:r>
              <w:rPr>
                <w:rFonts w:ascii="Calibri" w:hAnsi="Calibri"/>
                <w:sz w:val="22"/>
              </w:rPr>
              <w:t>$1.072B</w:t>
            </w:r>
          </w:p>
        </w:tc>
        <w:tc>
          <w:tcPr>
            <w:tcW w:type="dxa" w:w="1234"/>
          </w:tcPr>
          <w:p>
            <w:r>
              <w:rPr>
                <w:rFonts w:ascii="Calibri" w:hAnsi="Calibri"/>
                <w:b/>
                <w:color w:val="30A46C"/>
                <w:sz w:val="22"/>
              </w:rPr>
              <w:t>+2.5% YoY</w:t>
            </w:r>
          </w:p>
        </w:tc>
        <w:tc>
          <w:tcPr>
            <w:tcW w:type="dxa" w:w="1234"/>
          </w:tcPr>
          <w:p>
            <w:r>
              <w:rPr>
                <w:rFonts w:ascii="Calibri" w:hAnsi="Calibri"/>
                <w:sz w:val="22"/>
              </w:rPr>
              <w:t>FCF inflection from CapEx decline</w:t>
            </w:r>
          </w:p>
        </w:tc>
        <w:tc>
          <w:tcPr>
            <w:tcW w:type="dxa" w:w="1234"/>
          </w:tcPr>
          <w:p>
            <w:r>
              <w:rPr>
                <w:rFonts w:ascii="Calibri" w:hAnsi="Calibri"/>
                <w:sz w:val="22"/>
              </w:rPr>
              <w:t>~In-line</w:t>
            </w:r>
          </w:p>
        </w:tc>
      </w:tr>
      <w:tr>
        <w:tc>
          <w:tcPr>
            <w:tcW w:type="dxa" w:w="1234"/>
          </w:tcPr>
          <w:p>
            <w:r>
              <w:rPr>
                <w:rFonts w:ascii="Calibri" w:hAnsi="Calibri"/>
                <w:sz w:val="22"/>
              </w:rPr>
              <w:t>CapEx (ex-line ext.)</w:t>
            </w:r>
          </w:p>
        </w:tc>
        <w:tc>
          <w:tcPr>
            <w:tcW w:type="dxa" w:w="1234"/>
          </w:tcPr>
          <w:p>
            <w:r>
              <w:rPr>
                <w:rFonts w:ascii="Calibri" w:hAnsi="Calibri"/>
                <w:sz w:val="22"/>
              </w:rPr>
              <w:t>$2.043B</w:t>
            </w:r>
          </w:p>
        </w:tc>
        <w:tc>
          <w:tcPr>
            <w:tcW w:type="dxa" w:w="1234"/>
          </w:tcPr>
          <w:p>
            <w:r>
              <w:rPr>
                <w:rFonts w:ascii="Calibri" w:hAnsi="Calibri"/>
                <w:sz w:val="22"/>
              </w:rPr>
              <w:t>$1.846B</w:t>
            </w:r>
          </w:p>
        </w:tc>
        <w:tc>
          <w:tcPr>
            <w:tcW w:type="dxa" w:w="1234"/>
          </w:tcPr>
          <w:p>
            <w:r>
              <w:rPr>
                <w:rFonts w:ascii="Calibri" w:hAnsi="Calibri"/>
                <w:sz w:val="22"/>
              </w:rPr>
              <w:t>$1.954B</w:t>
            </w:r>
          </w:p>
        </w:tc>
        <w:tc>
          <w:tcPr>
            <w:tcW w:type="dxa" w:w="1234"/>
          </w:tcPr>
          <w:p>
            <w:r>
              <w:rPr>
                <w:rFonts w:ascii="Calibri" w:hAnsi="Calibri"/>
                <w:b/>
                <w:color w:val="E5484D"/>
                <w:sz w:val="22"/>
              </w:rPr>
              <w:t>+5.8% YoY</w:t>
            </w:r>
          </w:p>
        </w:tc>
        <w:tc>
          <w:tcPr>
            <w:tcW w:type="dxa" w:w="1234"/>
          </w:tcPr>
          <w:p>
            <w:r>
              <w:rPr>
                <w:rFonts w:ascii="Calibri" w:hAnsi="Calibri"/>
                <w:sz w:val="22"/>
              </w:rPr>
              <w:t>Declining toward &lt;$8B by 2028</w:t>
            </w:r>
          </w:p>
        </w:tc>
        <w:tc>
          <w:tcPr>
            <w:tcW w:type="dxa" w:w="1234"/>
          </w:tcPr>
          <w:p>
            <w:r>
              <w:rPr>
                <w:rFonts w:ascii="Calibri" w:hAnsi="Calibri"/>
                <w:sz w:val="22"/>
              </w:rPr>
              <w:t>N/A</w:t>
            </w:r>
          </w:p>
        </w:tc>
      </w:tr>
    </w:tbl>
    <w:p>
      <w:r>
        <w:rPr>
          <w:rFonts w:ascii="Calibri" w:hAnsi="Calibri"/>
          <w:color w:val="525866"/>
          <w:sz w:val="22"/>
        </w:rPr>
        <w:t>Source: Visible Alpha Consensus and Actuals Data.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Internet Net Adds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w:t>
            </w:r>
          </w:p>
        </w:tc>
        <w:tc>
          <w:tcPr>
            <w:tcW w:type="dxa" w:w="1728"/>
          </w:tcPr>
          <w:p>
            <w:r>
              <w:rPr>
                <w:rFonts w:ascii="Calibri" w:hAnsi="Calibri"/>
                <w:b/>
                <w:sz w:val="22"/>
              </w:rPr>
              <w:t>Consensus</w:t>
            </w:r>
          </w:p>
        </w:tc>
        <w:tc>
          <w:tcPr>
            <w:tcW w:type="dxa" w:w="1728"/>
          </w:tcPr>
          <w:p>
            <w:r>
              <w:rPr>
                <w:rFonts w:ascii="Calibri" w:hAnsi="Calibri"/>
                <w:b/>
                <w:sz w:val="22"/>
              </w:rPr>
              <w:t>Surprise</w:t>
            </w:r>
          </w:p>
        </w:tc>
        <w:tc>
          <w:tcPr>
            <w:tcW w:type="dxa" w:w="1728"/>
          </w:tcPr>
          <w:p>
            <w:r>
              <w:rPr>
                <w:rFonts w:ascii="Calibri" w:hAnsi="Calibri"/>
                <w:b/>
                <w:sz w:val="22"/>
              </w:rPr>
              <w:t>Result</w:t>
            </w:r>
          </w:p>
        </w:tc>
      </w:tr>
      <w:tr>
        <w:tc>
          <w:tcPr>
            <w:tcW w:type="dxa" w:w="1728"/>
          </w:tcPr>
          <w:p>
            <w:r>
              <w:rPr>
                <w:rFonts w:ascii="Calibri" w:hAnsi="Calibri"/>
                <w:sz w:val="22"/>
              </w:rPr>
              <w:t>Q2 2024</w:t>
            </w:r>
          </w:p>
        </w:tc>
        <w:tc>
          <w:tcPr>
            <w:tcW w:type="dxa" w:w="1728"/>
          </w:tcPr>
          <w:p>
            <w:r>
              <w:rPr>
                <w:rFonts w:ascii="Calibri" w:hAnsi="Calibri"/>
                <w:sz w:val="22"/>
              </w:rPr>
              <w:t>-149K</w:t>
            </w:r>
          </w:p>
        </w:tc>
        <w:tc>
          <w:tcPr>
            <w:tcW w:type="dxa" w:w="1728"/>
          </w:tcPr>
          <w:p>
            <w:r>
              <w:rPr>
                <w:rFonts w:ascii="Calibri" w:hAnsi="Calibri"/>
                <w:sz w:val="22"/>
              </w:rPr>
              <w:t>-73K</w:t>
            </w:r>
          </w:p>
        </w:tc>
        <w:tc>
          <w:tcPr>
            <w:tcW w:type="dxa" w:w="1728"/>
          </w:tcPr>
          <w:p>
            <w:r>
              <w:rPr>
                <w:rFonts w:ascii="Calibri" w:hAnsi="Calibri"/>
                <w:b/>
                <w:color w:val="E5484D"/>
                <w:sz w:val="22"/>
              </w:rPr>
              <w:t>-103%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-110K</w:t>
            </w:r>
          </w:p>
        </w:tc>
        <w:tc>
          <w:tcPr>
            <w:tcW w:type="dxa" w:w="1728"/>
          </w:tcPr>
          <w:p>
            <w:r>
              <w:rPr>
                <w:rFonts w:ascii="Calibri" w:hAnsi="Calibri"/>
                <w:sz w:val="22"/>
              </w:rPr>
              <w:t>-83K</w:t>
            </w:r>
          </w:p>
        </w:tc>
        <w:tc>
          <w:tcPr>
            <w:tcW w:type="dxa" w:w="1728"/>
          </w:tcPr>
          <w:p>
            <w:r>
              <w:rPr>
                <w:rFonts w:ascii="Calibri" w:hAnsi="Calibri"/>
                <w:b/>
                <w:color w:val="E5484D"/>
                <w:sz w:val="22"/>
              </w:rPr>
              <w:t>-33%</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-177K</w:t>
            </w:r>
          </w:p>
        </w:tc>
        <w:tc>
          <w:tcPr>
            <w:tcW w:type="dxa" w:w="1728"/>
          </w:tcPr>
          <w:p>
            <w:r>
              <w:rPr>
                <w:rFonts w:ascii="Calibri" w:hAnsi="Calibri"/>
                <w:sz w:val="22"/>
              </w:rPr>
              <w:t>-130K</w:t>
            </w:r>
          </w:p>
        </w:tc>
        <w:tc>
          <w:tcPr>
            <w:tcW w:type="dxa" w:w="1728"/>
          </w:tcPr>
          <w:p>
            <w:r>
              <w:rPr>
                <w:rFonts w:ascii="Calibri" w:hAnsi="Calibri"/>
                <w:b/>
                <w:color w:val="E5484D"/>
                <w:sz w:val="22"/>
              </w:rPr>
              <w:t>-36%</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-181K</w:t>
            </w:r>
          </w:p>
        </w:tc>
        <w:tc>
          <w:tcPr>
            <w:tcW w:type="dxa" w:w="1728"/>
          </w:tcPr>
          <w:p>
            <w:r>
              <w:rPr>
                <w:rFonts w:ascii="Calibri" w:hAnsi="Calibri"/>
                <w:sz w:val="22"/>
              </w:rPr>
              <w:t>-100K</w:t>
            </w:r>
          </w:p>
        </w:tc>
        <w:tc>
          <w:tcPr>
            <w:tcW w:type="dxa" w:w="1728"/>
          </w:tcPr>
          <w:p>
            <w:r>
              <w:rPr>
                <w:rFonts w:ascii="Calibri" w:hAnsi="Calibri"/>
                <w:b/>
                <w:color w:val="E5484D"/>
                <w:sz w:val="22"/>
              </w:rPr>
              <w:t>-81%</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-116K</w:t>
            </w:r>
          </w:p>
        </w:tc>
        <w:tc>
          <w:tcPr>
            <w:tcW w:type="dxa" w:w="1728"/>
          </w:tcPr>
          <w:p>
            <w:r>
              <w:rPr>
                <w:rFonts w:ascii="Calibri" w:hAnsi="Calibri"/>
                <w:sz w:val="22"/>
              </w:rPr>
              <w:t>-73K</w:t>
            </w:r>
          </w:p>
        </w:tc>
        <w:tc>
          <w:tcPr>
            <w:tcW w:type="dxa" w:w="1728"/>
          </w:tcPr>
          <w:p>
            <w:r>
              <w:rPr>
                <w:rFonts w:ascii="Calibri" w:hAnsi="Calibri"/>
                <w:b/>
                <w:color w:val="E5484D"/>
                <w:sz w:val="22"/>
              </w:rPr>
              <w:t>-59%</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-109K</w:t>
            </w:r>
          </w:p>
        </w:tc>
        <w:tc>
          <w:tcPr>
            <w:tcW w:type="dxa" w:w="1728"/>
          </w:tcPr>
          <w:p>
            <w:r>
              <w:rPr>
                <w:rFonts w:ascii="Calibri" w:hAnsi="Calibri"/>
                <w:sz w:val="22"/>
              </w:rPr>
              <w:t>-83K</w:t>
            </w:r>
          </w:p>
        </w:tc>
        <w:tc>
          <w:tcPr>
            <w:tcW w:type="dxa" w:w="1728"/>
          </w:tcPr>
          <w:p>
            <w:r>
              <w:rPr>
                <w:rFonts w:ascii="Calibri" w:hAnsi="Calibri"/>
                <w:b/>
                <w:color w:val="E5484D"/>
                <w:sz w:val="22"/>
              </w:rPr>
              <w:t>-31%</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-119K</w:t>
            </w:r>
          </w:p>
        </w:tc>
        <w:tc>
          <w:tcPr>
            <w:tcW w:type="dxa" w:w="1728"/>
          </w:tcPr>
          <w:p>
            <w:r>
              <w:rPr>
                <w:rFonts w:ascii="Calibri" w:hAnsi="Calibri"/>
                <w:sz w:val="22"/>
              </w:rPr>
              <w:t>-130K</w:t>
            </w:r>
          </w:p>
        </w:tc>
        <w:tc>
          <w:tcPr>
            <w:tcW w:type="dxa" w:w="1728"/>
          </w:tcPr>
          <w:p>
            <w:r>
              <w:rPr>
                <w:rFonts w:ascii="Calibri" w:hAnsi="Calibri"/>
                <w:b/>
                <w:color w:val="30A46C"/>
                <w:sz w:val="22"/>
              </w:rPr>
              <w:t>+9%</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-120K</w:t>
            </w:r>
          </w:p>
        </w:tc>
        <w:tc>
          <w:tcPr>
            <w:tcW w:type="dxa" w:w="1728"/>
          </w:tcPr>
          <w:p>
            <w:r>
              <w:rPr>
                <w:rFonts w:ascii="Calibri" w:hAnsi="Calibri"/>
                <w:sz w:val="22"/>
              </w:rPr>
              <w:t>-100K</w:t>
            </w:r>
          </w:p>
        </w:tc>
        <w:tc>
          <w:tcPr>
            <w:tcW w:type="dxa" w:w="1728"/>
          </w:tcPr>
          <w:p>
            <w:r>
              <w:rPr>
                <w:rFonts w:ascii="Calibri" w:hAnsi="Calibri"/>
                <w:b/>
                <w:color w:val="E5484D"/>
                <w:sz w:val="22"/>
              </w:rPr>
              <w:t>-20%</w:t>
            </w:r>
          </w:p>
        </w:tc>
        <w:tc>
          <w:tcPr>
            <w:tcW w:type="dxa" w:w="1728"/>
          </w:tcPr>
          <w:p>
            <w:r>
              <w:rPr>
                <w:rFonts w:ascii="Calibri" w:hAnsi="Calibri"/>
                <w:b/>
                <w:color w:val="E5484D"/>
                <w:sz w:val="22"/>
              </w:rPr>
              <w:t>Miss</w:t>
            </w:r>
          </w:p>
        </w:tc>
      </w:tr>
    </w:tbl>
    <w:p>
      <w:pPr>
        <w:pStyle w:val="Heading4"/>
      </w:pPr>
      <w:r>
        <w:rPr>
          <w:rFonts w:ascii="Calibri" w:hAnsi="Calibri"/>
          <w:b/>
          <w:color w:val="3B4259"/>
          <w:sz w:val="22"/>
        </w:rPr>
        <w:t>EBITDA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w:t>
            </w:r>
          </w:p>
        </w:tc>
        <w:tc>
          <w:tcPr>
            <w:tcW w:type="dxa" w:w="1728"/>
          </w:tcPr>
          <w:p>
            <w:r>
              <w:rPr>
                <w:rFonts w:ascii="Calibri" w:hAnsi="Calibri"/>
                <w:b/>
                <w:sz w:val="22"/>
              </w:rPr>
              <w:t>Consensus</w:t>
            </w:r>
          </w:p>
        </w:tc>
        <w:tc>
          <w:tcPr>
            <w:tcW w:type="dxa" w:w="1728"/>
          </w:tcPr>
          <w:p>
            <w:r>
              <w:rPr>
                <w:rFonts w:ascii="Calibri" w:hAnsi="Calibri"/>
                <w:b/>
                <w:sz w:val="22"/>
              </w:rPr>
              <w:t>Surprise</w:t>
            </w:r>
          </w:p>
        </w:tc>
        <w:tc>
          <w:tcPr>
            <w:tcW w:type="dxa" w:w="1728"/>
          </w:tcPr>
          <w:p>
            <w:r>
              <w:rPr>
                <w:rFonts w:ascii="Calibri" w:hAnsi="Calibri"/>
                <w:b/>
                <w:sz w:val="22"/>
              </w:rPr>
              <w:t>Result</w:t>
            </w:r>
          </w:p>
        </w:tc>
      </w:tr>
      <w:tr>
        <w:tc>
          <w:tcPr>
            <w:tcW w:type="dxa" w:w="1728"/>
          </w:tcPr>
          <w:p>
            <w:r>
              <w:rPr>
                <w:rFonts w:ascii="Calibri" w:hAnsi="Calibri"/>
                <w:sz w:val="22"/>
              </w:rPr>
              <w:t>Q2 2024</w:t>
            </w:r>
          </w:p>
        </w:tc>
        <w:tc>
          <w:tcPr>
            <w:tcW w:type="dxa" w:w="1728"/>
          </w:tcPr>
          <w:p>
            <w:r>
              <w:rPr>
                <w:rFonts w:ascii="Calibri" w:hAnsi="Calibri"/>
                <w:sz w:val="22"/>
              </w:rPr>
              <w:t>$5.51B</w:t>
            </w:r>
          </w:p>
        </w:tc>
        <w:tc>
          <w:tcPr>
            <w:tcW w:type="dxa" w:w="1728"/>
          </w:tcPr>
          <w:p>
            <w:r>
              <w:rPr>
                <w:rFonts w:ascii="Calibri" w:hAnsi="Calibri"/>
                <w:sz w:val="22"/>
              </w:rPr>
              <w:t>$5.52B</w:t>
            </w:r>
          </w:p>
        </w:tc>
        <w:tc>
          <w:tcPr>
            <w:tcW w:type="dxa" w:w="1728"/>
          </w:tcPr>
          <w:p>
            <w:r>
              <w:rPr>
                <w:rFonts w:ascii="Calibri" w:hAnsi="Calibri"/>
                <w:b/>
                <w:color w:val="E5484D"/>
                <w:sz w:val="22"/>
              </w:rPr>
              <w:t>-0.2%</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$5.47B</w:t>
            </w:r>
          </w:p>
        </w:tc>
        <w:tc>
          <w:tcPr>
            <w:tcW w:type="dxa" w:w="1728"/>
          </w:tcPr>
          <w:p>
            <w:r>
              <w:rPr>
                <w:rFonts w:ascii="Calibri" w:hAnsi="Calibri"/>
                <w:sz w:val="22"/>
              </w:rPr>
              <w:t>$5.50B</w:t>
            </w:r>
          </w:p>
        </w:tc>
        <w:tc>
          <w:tcPr>
            <w:tcW w:type="dxa" w:w="1728"/>
          </w:tcPr>
          <w:p>
            <w:r>
              <w:rPr>
                <w:rFonts w:ascii="Calibri" w:hAnsi="Calibri"/>
                <w:b/>
                <w:color w:val="E5484D"/>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$5.60B</w:t>
            </w:r>
          </w:p>
        </w:tc>
        <w:tc>
          <w:tcPr>
            <w:tcW w:type="dxa" w:w="1728"/>
          </w:tcPr>
          <w:p>
            <w:r>
              <w:rPr>
                <w:rFonts w:ascii="Calibri" w:hAnsi="Calibri"/>
                <w:sz w:val="22"/>
              </w:rPr>
              <w:t>$5.57B</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$5.64B</w:t>
            </w:r>
          </w:p>
        </w:tc>
        <w:tc>
          <w:tcPr>
            <w:tcW w:type="dxa" w:w="1728"/>
          </w:tcPr>
          <w:p>
            <w:r>
              <w:rPr>
                <w:rFonts w:ascii="Calibri" w:hAnsi="Calibri"/>
                <w:sz w:val="22"/>
              </w:rPr>
              <w:t>$5.64B</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$5.69B</w:t>
            </w:r>
          </w:p>
        </w:tc>
        <w:tc>
          <w:tcPr>
            <w:tcW w:type="dxa" w:w="1728"/>
          </w:tcPr>
          <w:p>
            <w:r>
              <w:rPr>
                <w:rFonts w:ascii="Calibri" w:hAnsi="Calibri"/>
                <w:sz w:val="22"/>
              </w:rPr>
              <w:t>$5.77B</w:t>
            </w:r>
          </w:p>
        </w:tc>
        <w:tc>
          <w:tcPr>
            <w:tcW w:type="dxa" w:w="1728"/>
          </w:tcPr>
          <w:p>
            <w:r>
              <w:rPr>
                <w:rFonts w:ascii="Calibri" w:hAnsi="Calibri"/>
                <w:b/>
                <w:color w:val="E5484D"/>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$5.56B</w:t>
            </w:r>
          </w:p>
        </w:tc>
        <w:tc>
          <w:tcPr>
            <w:tcW w:type="dxa" w:w="1728"/>
          </w:tcPr>
          <w:p>
            <w:r>
              <w:rPr>
                <w:rFonts w:ascii="Calibri" w:hAnsi="Calibri"/>
                <w:sz w:val="22"/>
              </w:rPr>
              <w:t>$5.60B</w:t>
            </w:r>
          </w:p>
        </w:tc>
        <w:tc>
          <w:tcPr>
            <w:tcW w:type="dxa" w:w="1728"/>
          </w:tcPr>
          <w:p>
            <w:r>
              <w:rPr>
                <w:rFonts w:ascii="Calibri" w:hAnsi="Calibri"/>
                <w:b/>
                <w:color w:val="E5484D"/>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$5.69B</w:t>
            </w:r>
          </w:p>
        </w:tc>
        <w:tc>
          <w:tcPr>
            <w:tcW w:type="dxa" w:w="1728"/>
          </w:tcPr>
          <w:p>
            <w:r>
              <w:rPr>
                <w:rFonts w:ascii="Calibri" w:hAnsi="Calibri"/>
                <w:sz w:val="22"/>
              </w:rPr>
              <w:t>$5.60B</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$5.64B</w:t>
            </w:r>
          </w:p>
        </w:tc>
        <w:tc>
          <w:tcPr>
            <w:tcW w:type="dxa" w:w="1728"/>
          </w:tcPr>
          <w:p>
            <w:r>
              <w:rPr>
                <w:rFonts w:ascii="Calibri" w:hAnsi="Calibri"/>
                <w:sz w:val="22"/>
              </w:rPr>
              <w:t>$5.63B</w:t>
            </w:r>
          </w:p>
        </w:tc>
        <w:tc>
          <w:tcPr>
            <w:tcW w:type="dxa" w:w="1728"/>
          </w:tcPr>
          <w:p>
            <w:r>
              <w:rPr>
                <w:rFonts w:ascii="Calibri" w:hAnsi="Calibri"/>
                <w:b/>
                <w:color w:val="30A46C"/>
                <w:sz w:val="22"/>
              </w:rPr>
              <w:t>+0.1%</w:t>
            </w:r>
          </w:p>
        </w:tc>
        <w:tc>
          <w:tcPr>
            <w:tcW w:type="dxa" w:w="1728"/>
          </w:tcPr>
          <w:p>
            <w:r>
              <w:rPr>
                <w:rFonts w:ascii="Calibri" w:hAnsi="Calibri"/>
                <w:b/>
                <w:color w:val="30A46C"/>
                <w:sz w:val="22"/>
              </w:rPr>
              <w:t>In-line</w:t>
            </w:r>
          </w:p>
        </w:tc>
      </w:tr>
    </w:tbl>
    <w:p>
      <w:r>
        <w:rPr>
          <w:rFonts w:ascii="Calibri" w:hAnsi="Calibri"/>
          <w:b/>
          <w:color w:val="525866"/>
          <w:sz w:val="22"/>
        </w:rPr>
        <w:t xml:space="preserve">Pattern: </w:t>
      </w:r>
      <w:r>
        <w:rPr>
          <w:rFonts w:ascii="Calibri" w:hAnsi="Calibri"/>
          <w:color w:val="525866"/>
          <w:sz w:val="22"/>
        </w:rPr>
        <w:t>CHTR has consistently missed on internet net adds (7 of last 8 quarters), though the magnitude of misses has narrowed. EBITDA has been more balanced, with 3 beats, 4 misses, and 1 in-line over the same period.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EBITDA guidance (slight growth ex-Cox transition costs) has been </w:t>
      </w:r>
      <w:r>
        <w:rPr>
          <w:rFonts w:ascii="Calibri" w:hAnsi="Calibri"/>
          <w:b/>
          <w:color w:val="525866"/>
          <w:sz w:val="22"/>
        </w:rPr>
        <w:t>maintained at both post-Q1 conferences</w:t>
      </w:r>
      <w:r>
        <w:rPr>
          <w:rFonts w:ascii="Calibri" w:hAnsi="Calibri"/>
          <w:color w:val="525866"/>
          <w:sz w:val="22"/>
        </w:rPr>
        <w:t xml:space="preserve">, but the </w:t>
      </w:r>
      <w:r>
        <w:rPr>
          <w:rFonts w:ascii="Calibri" w:hAnsi="Calibri"/>
          <w:b/>
          <w:color w:val="525866"/>
          <w:sz w:val="22"/>
        </w:rPr>
        <w:t>ARPU trajectory remains the key uncertainty</w:t>
      </w:r>
      <w:r>
        <w:rPr>
          <w:rFonts w:ascii="Calibri" w:hAnsi="Calibri"/>
          <w:color w:val="525866"/>
          <w:sz w:val="22"/>
        </w:rPr>
        <w:t xml:space="preserve"> — management has pivoted to “converged ARPU” as the preferred metric while deferring the cost pass-through to later in the summer.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Apr 24)</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FY2026 EBITDA</w:t>
            </w:r>
          </w:p>
        </w:tc>
        <w:tc>
          <w:tcPr>
            <w:tcW w:type="dxa" w:w="1728"/>
          </w:tcPr>
          <w:p>
            <w:r>
              <w:rPr>
                <w:rFonts w:ascii="Calibri" w:hAnsi="Calibri"/>
                <w:sz w:val="22"/>
              </w:rPr>
              <w:t>Slight growth YoY (ex-Cox transition costs)</w:t>
            </w:r>
          </w:p>
        </w:tc>
        <w:tc>
          <w:tcPr>
            <w:tcW w:type="dxa" w:w="1728"/>
          </w:tcPr>
          <w:p>
            <w:r>
              <w:rPr>
                <w:rFonts w:ascii="Calibri" w:hAnsi="Calibri"/>
                <w:sz w:val="22"/>
              </w:rPr>
              <w:t>No change</w:t>
            </w:r>
          </w:p>
        </w:tc>
        <w:tc>
          <w:tcPr>
            <w:tcW w:type="dxa" w:w="1728"/>
          </w:tcPr>
          <w:p>
            <w:r>
              <w:rPr>
                <w:rFonts w:ascii="Calibri" w:hAnsi="Calibri"/>
                <w:sz w:val="22"/>
              </w:rPr>
              <w:t>$22.51B</w:t>
            </w:r>
          </w:p>
        </w:tc>
        <w:tc>
          <w:tcPr>
            <w:tcW w:type="dxa" w:w="1728"/>
          </w:tcPr>
          <w:p>
            <w:r>
              <w:rPr>
                <w:rFonts w:ascii="Calibri" w:hAnsi="Calibri"/>
                <w:sz w:val="22"/>
              </w:rPr>
              <w:t>Reiterated at MoffettNathanson (May 14) and JPM (May 20) conferences</w:t>
            </w:r>
          </w:p>
        </w:tc>
      </w:tr>
      <w:tr>
        <w:tc>
          <w:tcPr>
            <w:tcW w:type="dxa" w:w="1728"/>
          </w:tcPr>
          <w:p>
            <w:r>
              <w:rPr>
                <w:rFonts w:ascii="Calibri" w:hAnsi="Calibri"/>
                <w:sz w:val="22"/>
              </w:rPr>
              <w:t>Residential Broadband ARPU</w:t>
            </w:r>
          </w:p>
        </w:tc>
        <w:tc>
          <w:tcPr>
            <w:tcW w:type="dxa" w:w="1728"/>
          </w:tcPr>
          <w:p>
            <w:r>
              <w:rPr>
                <w:rFonts w:ascii="Calibri" w:hAnsi="Calibri"/>
                <w:sz w:val="22"/>
              </w:rPr>
              <w:t>"Close either way to flat" for FY2026</w:t>
            </w:r>
          </w:p>
        </w:tc>
        <w:tc>
          <w:tcPr>
            <w:tcW w:type="dxa" w:w="1728"/>
          </w:tcPr>
          <w:p>
            <w:r>
              <w:rPr>
                <w:rFonts w:ascii="Calibri" w:hAnsi="Calibri"/>
                <w:sz w:val="22"/>
              </w:rPr>
              <w:t>No change</w:t>
            </w:r>
          </w:p>
        </w:tc>
        <w:tc>
          <w:tcPr>
            <w:tcW w:type="dxa" w:w="1728"/>
          </w:tcPr>
          <w:p>
            <w:r>
              <w:rPr>
                <w:rFonts w:ascii="Calibri" w:hAnsi="Calibri"/>
                <w:sz w:val="22"/>
              </w:rPr>
              <w:t>$71.12</w:t>
            </w:r>
          </w:p>
        </w:tc>
        <w:tc>
          <w:tcPr>
            <w:tcW w:type="dxa" w:w="1728"/>
          </w:tcPr>
          <w:p>
            <w:r>
              <w:rPr>
                <w:rFonts w:ascii="Calibri" w:hAnsi="Calibri"/>
                <w:sz w:val="22"/>
              </w:rPr>
              <w:t>CFO at JPM: 2-yr price locks (2-product bundles) begin sunsetting Q4 2026; cost pass-through deferred to late summer with value enhancements</w:t>
            </w:r>
          </w:p>
        </w:tc>
      </w:tr>
      <w:tr>
        <w:tc>
          <w:tcPr>
            <w:tcW w:type="dxa" w:w="1728"/>
          </w:tcPr>
          <w:p>
            <w:r>
              <w:rPr>
                <w:rFonts w:ascii="Calibri" w:hAnsi="Calibri"/>
                <w:sz w:val="22"/>
              </w:rPr>
              <w:t>Internet Net Adds</w:t>
            </w:r>
          </w:p>
        </w:tc>
        <w:tc>
          <w:tcPr>
            <w:tcW w:type="dxa" w:w="1728"/>
          </w:tcPr>
          <w:p>
            <w:r>
              <w:rPr>
                <w:rFonts w:ascii="Calibri" w:hAnsi="Calibri"/>
                <w:sz w:val="22"/>
              </w:rPr>
              <w:t>No explicit guidance</w:t>
            </w:r>
          </w:p>
        </w:tc>
        <w:tc>
          <w:tcPr>
            <w:tcW w:type="dxa" w:w="1728"/>
          </w:tcPr>
          <w:p>
            <w:r>
              <w:rPr>
                <w:rFonts w:ascii="Calibri" w:hAnsi="Calibri"/>
                <w:sz w:val="22"/>
              </w:rPr>
              <w:t>No change</w:t>
            </w:r>
          </w:p>
        </w:tc>
        <w:tc>
          <w:tcPr>
            <w:tcW w:type="dxa" w:w="1728"/>
          </w:tcPr>
          <w:p>
            <w:r>
              <w:rPr>
                <w:rFonts w:ascii="Calibri" w:hAnsi="Calibri"/>
                <w:sz w:val="22"/>
              </w:rPr>
              <w:t>-503K FY2026</w:t>
            </w:r>
          </w:p>
        </w:tc>
        <w:tc>
          <w:tcPr>
            <w:tcW w:type="dxa" w:w="1728"/>
          </w:tcPr>
          <w:p>
            <w:r>
              <w:rPr>
                <w:rFonts w:ascii="Calibri" w:hAnsi="Calibri"/>
                <w:sz w:val="22"/>
              </w:rPr>
              <w:t>Management framing as "top of funnel" challenge; competitive environment unchanged per May conferences</w:t>
            </w:r>
          </w:p>
        </w:tc>
      </w:tr>
      <w:tr>
        <w:tc>
          <w:tcPr>
            <w:tcW w:type="dxa" w:w="1728"/>
          </w:tcPr>
          <w:p>
            <w:r>
              <w:rPr>
                <w:rFonts w:ascii="Calibri" w:hAnsi="Calibri"/>
                <w:sz w:val="22"/>
              </w:rPr>
              <w:t>Mobile Line Net Adds</w:t>
            </w:r>
          </w:p>
        </w:tc>
        <w:tc>
          <w:tcPr>
            <w:tcW w:type="dxa" w:w="1728"/>
          </w:tcPr>
          <w:p>
            <w:r>
              <w:rPr>
                <w:rFonts w:ascii="Calibri" w:hAnsi="Calibri"/>
                <w:sz w:val="22"/>
              </w:rPr>
              <w:t>No explicit guidance</w:t>
            </w:r>
          </w:p>
        </w:tc>
        <w:tc>
          <w:tcPr>
            <w:tcW w:type="dxa" w:w="1728"/>
          </w:tcPr>
          <w:p>
            <w:r>
              <w:rPr>
                <w:rFonts w:ascii="Calibri" w:hAnsi="Calibri"/>
                <w:sz w:val="22"/>
              </w:rPr>
              <w:t>No change</w:t>
            </w:r>
          </w:p>
        </w:tc>
        <w:tc>
          <w:tcPr>
            <w:tcW w:type="dxa" w:w="1728"/>
          </w:tcPr>
          <w:p>
            <w:r>
              <w:rPr>
                <w:rFonts w:ascii="Calibri" w:hAnsi="Calibri"/>
                <w:sz w:val="22"/>
              </w:rPr>
              <w:t>1.528M FY2026</w:t>
            </w:r>
          </w:p>
        </w:tc>
        <w:tc>
          <w:tcPr>
            <w:tcW w:type="dxa" w:w="1728"/>
          </w:tcPr>
          <w:p>
            <w:r>
              <w:rPr>
                <w:rFonts w:ascii="Calibri" w:hAnsi="Calibri"/>
                <w:sz w:val="22"/>
              </w:rPr>
              <w:t>12M+ lines crossed; penetration of internet base just over 20%</w:t>
            </w:r>
          </w:p>
        </w:tc>
      </w:tr>
      <w:tr>
        <w:tc>
          <w:tcPr>
            <w:tcW w:type="dxa" w:w="1728"/>
          </w:tcPr>
          <w:p>
            <w:r>
              <w:rPr>
                <w:rFonts w:ascii="Calibri" w:hAnsi="Calibri"/>
                <w:sz w:val="22"/>
              </w:rPr>
              <w:t>CapEx</w:t>
            </w:r>
          </w:p>
        </w:tc>
        <w:tc>
          <w:tcPr>
            <w:tcW w:type="dxa" w:w="1728"/>
          </w:tcPr>
          <w:p>
            <w:r>
              <w:rPr>
                <w:rFonts w:ascii="Calibri" w:hAnsi="Calibri"/>
                <w:sz w:val="22"/>
              </w:rPr>
              <w:t>Declining trajectory; rural build completing 2026; network evolution ~50% complete by year-end</w:t>
            </w:r>
          </w:p>
        </w:tc>
        <w:tc>
          <w:tcPr>
            <w:tcW w:type="dxa" w:w="1728"/>
          </w:tcPr>
          <w:p>
            <w:r>
              <w:rPr>
                <w:rFonts w:ascii="Calibri" w:hAnsi="Calibri"/>
                <w:sz w:val="22"/>
              </w:rPr>
              <w:t>No change</w:t>
            </w:r>
          </w:p>
        </w:tc>
        <w:tc>
          <w:tcPr>
            <w:tcW w:type="dxa" w:w="1728"/>
          </w:tcPr>
          <w:p>
            <w:r>
              <w:rPr>
                <w:rFonts w:ascii="Calibri" w:hAnsi="Calibri"/>
                <w:sz w:val="22"/>
              </w:rPr>
              <w:t>$8.18B FY2026</w:t>
            </w:r>
          </w:p>
        </w:tc>
        <w:tc>
          <w:tcPr>
            <w:tcW w:type="dxa" w:w="1728"/>
          </w:tcPr>
          <w:p>
            <w:r>
              <w:rPr>
                <w:rFonts w:ascii="Calibri" w:hAnsi="Calibri"/>
                <w:sz w:val="22"/>
              </w:rPr>
              <w:t>Rural initiative ending is key FCF inflection driver</w:t>
            </w:r>
          </w:p>
        </w:tc>
      </w:tr>
      <w:tr>
        <w:tc>
          <w:tcPr>
            <w:tcW w:type="dxa" w:w="1728"/>
          </w:tcPr>
          <w:p>
            <w:r>
              <w:rPr>
                <w:rFonts w:ascii="Calibri" w:hAnsi="Calibri"/>
                <w:sz w:val="22"/>
              </w:rPr>
              <w:t>Cox Acquisition</w:t>
            </w:r>
          </w:p>
        </w:tc>
        <w:tc>
          <w:tcPr>
            <w:tcW w:type="dxa" w:w="1728"/>
          </w:tcPr>
          <w:p>
            <w:r>
              <w:rPr>
                <w:rFonts w:ascii="Calibri" w:hAnsi="Calibri"/>
                <w:sz w:val="22"/>
              </w:rPr>
              <w:t>California CPUC decision requested by Aug 13; $800M+ run-rate OpEx synergies</w:t>
            </w:r>
          </w:p>
        </w:tc>
        <w:tc>
          <w:tcPr>
            <w:tcW w:type="dxa" w:w="1728"/>
          </w:tcPr>
          <w:p>
            <w:r>
              <w:rPr>
                <w:rFonts w:ascii="Calibri" w:hAnsi="Calibri"/>
                <w:sz w:val="22"/>
              </w:rPr>
              <w:t>No change</w:t>
            </w:r>
          </w:p>
        </w:tc>
        <w:tc>
          <w:tcPr>
            <w:tcW w:type="dxa" w:w="1728"/>
          </w:tcPr>
          <w:p>
            <w:r>
              <w:rPr>
                <w:rFonts w:ascii="Calibri" w:hAnsi="Calibri"/>
                <w:sz w:val="22"/>
              </w:rPr>
              <w:t>N/A</w:t>
            </w:r>
          </w:p>
        </w:tc>
        <w:tc>
          <w:tcPr>
            <w:tcW w:type="dxa" w:w="1728"/>
          </w:tcPr>
          <w:p>
            <w:r>
              <w:rPr>
                <w:rFonts w:ascii="Calibri" w:hAnsi="Calibri"/>
                <w:sz w:val="22"/>
              </w:rPr>
              <w:t>Settlements reached with Cal Advocates and CETF; all other approvals complete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w:t>
      </w:r>
      <w:r>
        <w:rPr>
          <w:rFonts w:ascii="Calibri" w:hAnsi="Calibri"/>
          <w:b/>
          <w:color w:val="525866"/>
          <w:sz w:val="22"/>
        </w:rPr>
        <w:t>modestly lower since Q1 earnings</w:t>
      </w:r>
      <w:r>
        <w:rPr>
          <w:rFonts w:ascii="Calibri" w:hAnsi="Calibri"/>
          <w:color w:val="525866"/>
          <w:sz w:val="22"/>
        </w:rPr>
        <w:t xml:space="preserve"> for both Q2 and FY2026, reflecting the ARPU uncertainty — but the magnitude of revision is small, suggesting the street is largely holding its numbers pending the Q2 print and Cox close.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tcPr>
          <w:p>
            <w:r>
              <w:rPr>
                <w:rFonts w:ascii="Calibri" w:hAnsi="Calibri"/>
                <w:b/>
                <w:sz w:val="22"/>
              </w:rPr>
              <w:t>KPI</w:t>
            </w:r>
          </w:p>
        </w:tc>
        <w:tc>
          <w:tcPr>
            <w:tcW w:type="dxa" w:w="960"/>
          </w:tcPr>
          <w:p>
            <w:r>
              <w:rPr>
                <w:rFonts w:ascii="Calibri" w:hAnsi="Calibri"/>
                <w:b/>
                <w:sz w:val="22"/>
              </w:rPr>
              <w:t>Period</w:t>
            </w:r>
          </w:p>
        </w:tc>
        <w:tc>
          <w:tcPr>
            <w:tcW w:type="dxa" w:w="960"/>
          </w:tcPr>
          <w:p>
            <w:r>
              <w:rPr>
                <w:rFonts w:ascii="Calibri" w:hAnsi="Calibri"/>
                <w:b/>
                <w:sz w:val="22"/>
              </w:rPr>
              <w:t>Estimate (Apr 29, 2026 — 5 days post Q1)</w:t>
            </w:r>
          </w:p>
        </w:tc>
        <w:tc>
          <w:tcPr>
            <w:tcW w:type="dxa" w:w="960"/>
          </w:tcPr>
          <w:p>
            <w:r>
              <w:rPr>
                <w:rFonts w:ascii="Calibri" w:hAnsi="Calibri"/>
                <w:b/>
                <w:sz w:val="22"/>
              </w:rPr>
              <w:t>Current Consensus</w:t>
            </w:r>
          </w:p>
        </w:tc>
        <w:tc>
          <w:tcPr>
            <w:tcW w:type="dxa" w:w="960"/>
          </w:tcPr>
          <w:p>
            <w:r>
              <w:rPr>
                <w:rFonts w:ascii="Calibri" w:hAnsi="Calibri"/>
                <w:b/>
                <w:sz w:val="22"/>
              </w:rPr>
              <w:t>Estimate Δ</w:t>
            </w:r>
          </w:p>
        </w:tc>
        <w:tc>
          <w:tcPr>
            <w:tcW w:type="dxa" w:w="960"/>
          </w:tcPr>
          <w:p>
            <w:r>
              <w:rPr>
                <w:rFonts w:ascii="Calibri" w:hAnsi="Calibri"/>
                <w:b/>
                <w:sz w:val="22"/>
              </w:rPr>
              <w:t>Initial Guidance</w:t>
            </w:r>
          </w:p>
        </w:tc>
        <w:tc>
          <w:tcPr>
            <w:tcW w:type="dxa" w:w="960"/>
          </w:tcPr>
          <w:p>
            <w:r>
              <w:rPr>
                <w:rFonts w:ascii="Calibri" w:hAnsi="Calibri"/>
                <w:b/>
                <w:sz w:val="22"/>
              </w:rPr>
              <w:t>Current Guidance</w:t>
            </w:r>
          </w:p>
        </w:tc>
        <w:tc>
          <w:tcPr>
            <w:tcW w:type="dxa" w:w="960"/>
          </w:tcPr>
          <w:p>
            <w:r>
              <w:rPr>
                <w:rFonts w:ascii="Calibri" w:hAnsi="Calibri"/>
                <w:b/>
                <w:sz w:val="22"/>
              </w:rPr>
              <w:t>Guidance Δ</w:t>
            </w:r>
          </w:p>
        </w:tc>
        <w:tc>
          <w:tcPr>
            <w:tcW w:type="dxa" w:w="960"/>
          </w:tcPr>
          <w:p>
            <w:r>
              <w:rPr>
                <w:rFonts w:ascii="Calibri" w:hAnsi="Calibri"/>
                <w:b/>
                <w:sz w:val="22"/>
              </w:rPr>
              <w:t>Consensus vs. Guidance</w:t>
            </w:r>
          </w:p>
        </w:tc>
      </w:tr>
      <w:tr>
        <w:tc>
          <w:tcPr>
            <w:tcW w:type="dxa" w:w="960"/>
          </w:tcPr>
          <w:p>
            <w:r>
              <w:rPr>
                <w:rFonts w:ascii="Calibri" w:hAnsi="Calibri"/>
                <w:sz w:val="22"/>
              </w:rPr>
              <w:t>Total Revenue</w:t>
            </w:r>
          </w:p>
        </w:tc>
        <w:tc>
          <w:tcPr>
            <w:tcW w:type="dxa" w:w="960"/>
          </w:tcPr>
          <w:p>
            <w:r>
              <w:rPr>
                <w:rFonts w:ascii="Calibri" w:hAnsi="Calibri"/>
                <w:sz w:val="22"/>
              </w:rPr>
              <w:t>Q2 2026</w:t>
            </w:r>
          </w:p>
        </w:tc>
        <w:tc>
          <w:tcPr>
            <w:tcW w:type="dxa" w:w="960"/>
          </w:tcPr>
          <w:p>
            <w:r>
              <w:rPr>
                <w:rFonts w:ascii="Calibri" w:hAnsi="Calibri"/>
                <w:sz w:val="22"/>
              </w:rPr>
              <w:t>$13.530B</w:t>
            </w:r>
          </w:p>
        </w:tc>
        <w:tc>
          <w:tcPr>
            <w:tcW w:type="dxa" w:w="960"/>
          </w:tcPr>
          <w:p>
            <w:r>
              <w:rPr>
                <w:rFonts w:ascii="Calibri" w:hAnsi="Calibri"/>
                <w:sz w:val="22"/>
              </w:rPr>
              <w:t>$13.506B</w:t>
            </w:r>
          </w:p>
        </w:tc>
        <w:tc>
          <w:tcPr>
            <w:tcW w:type="dxa" w:w="960"/>
          </w:tcPr>
          <w:p>
            <w:r>
              <w:rPr>
                <w:rFonts w:ascii="Calibri" w:hAnsi="Calibri"/>
                <w:sz w:val="22"/>
              </w:rPr>
              <w:t>-0.2%</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Total Revenue</w:t>
            </w:r>
          </w:p>
        </w:tc>
        <w:tc>
          <w:tcPr>
            <w:tcW w:type="dxa" w:w="960"/>
          </w:tcPr>
          <w:p>
            <w:r>
              <w:rPr>
                <w:rFonts w:ascii="Calibri" w:hAnsi="Calibri"/>
                <w:sz w:val="22"/>
              </w:rPr>
              <w:t>FY2026</w:t>
            </w:r>
          </w:p>
        </w:tc>
        <w:tc>
          <w:tcPr>
            <w:tcW w:type="dxa" w:w="960"/>
          </w:tcPr>
          <w:p>
            <w:r>
              <w:rPr>
                <w:rFonts w:ascii="Calibri" w:hAnsi="Calibri"/>
                <w:sz w:val="22"/>
              </w:rPr>
              <w:t>$54.324B</w:t>
            </w:r>
          </w:p>
        </w:tc>
        <w:tc>
          <w:tcPr>
            <w:tcW w:type="dxa" w:w="960"/>
          </w:tcPr>
          <w:p>
            <w:r>
              <w:rPr>
                <w:rFonts w:ascii="Calibri" w:hAnsi="Calibri"/>
                <w:sz w:val="22"/>
              </w:rPr>
              <w:t>$54.293B</w:t>
            </w:r>
          </w:p>
        </w:tc>
        <w:tc>
          <w:tcPr>
            <w:tcW w:type="dxa" w:w="960"/>
          </w:tcPr>
          <w:p>
            <w:r>
              <w:rPr>
                <w:rFonts w:ascii="Calibri" w:hAnsi="Calibri"/>
                <w:sz w:val="22"/>
              </w:rPr>
              <w:t>-0.1%</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EBITDA</w:t>
            </w:r>
          </w:p>
        </w:tc>
        <w:tc>
          <w:tcPr>
            <w:tcW w:type="dxa" w:w="960"/>
          </w:tcPr>
          <w:p>
            <w:r>
              <w:rPr>
                <w:rFonts w:ascii="Calibri" w:hAnsi="Calibri"/>
                <w:sz w:val="22"/>
              </w:rPr>
              <w:t>Q2 2026</w:t>
            </w:r>
          </w:p>
        </w:tc>
        <w:tc>
          <w:tcPr>
            <w:tcW w:type="dxa" w:w="960"/>
          </w:tcPr>
          <w:p>
            <w:r>
              <w:rPr>
                <w:rFonts w:ascii="Calibri" w:hAnsi="Calibri"/>
                <w:sz w:val="22"/>
              </w:rPr>
              <w:t>$5.609B</w:t>
            </w:r>
          </w:p>
        </w:tc>
        <w:tc>
          <w:tcPr>
            <w:tcW w:type="dxa" w:w="960"/>
          </w:tcPr>
          <w:p>
            <w:r>
              <w:rPr>
                <w:rFonts w:ascii="Calibri" w:hAnsi="Calibri"/>
                <w:sz w:val="22"/>
              </w:rPr>
              <w:t>$5.575B</w:t>
            </w:r>
          </w:p>
        </w:tc>
        <w:tc>
          <w:tcPr>
            <w:tcW w:type="dxa" w:w="960"/>
          </w:tcPr>
          <w:p>
            <w:r>
              <w:rPr>
                <w:rFonts w:ascii="Calibri" w:hAnsi="Calibri"/>
                <w:sz w:val="22"/>
              </w:rPr>
              <w:t>-0.6%</w:t>
            </w:r>
          </w:p>
        </w:tc>
        <w:tc>
          <w:tcPr>
            <w:tcW w:type="dxa" w:w="960"/>
          </w:tcPr>
          <w:p>
            <w:r>
              <w:rPr>
                <w:rFonts w:ascii="Calibri" w:hAnsi="Calibri"/>
                <w:sz w:val="22"/>
              </w:rPr>
              <w:t>Slight growth</w:t>
            </w:r>
          </w:p>
        </w:tc>
        <w:tc>
          <w:tcPr>
            <w:tcW w:type="dxa" w:w="960"/>
          </w:tcPr>
          <w:p>
            <w:r>
              <w:rPr>
                <w:rFonts w:ascii="Calibri" w:hAnsi="Calibri"/>
                <w:sz w:val="22"/>
              </w:rPr>
              <w:t>Slight growth</w:t>
            </w:r>
          </w:p>
        </w:tc>
        <w:tc>
          <w:tcPr>
            <w:tcW w:type="dxa" w:w="960"/>
          </w:tcPr>
          <w:p>
            <w:r>
              <w:rPr>
                <w:rFonts w:ascii="Calibri" w:hAnsi="Calibri"/>
                <w:sz w:val="22"/>
              </w:rPr>
              <w:t>Unchanged</w:t>
            </w:r>
          </w:p>
        </w:tc>
        <w:tc>
          <w:tcPr>
            <w:tcW w:type="dxa" w:w="960"/>
          </w:tcPr>
          <w:p>
            <w:r>
              <w:rPr>
                <w:rFonts w:ascii="Calibri" w:hAnsi="Calibri"/>
                <w:sz w:val="22"/>
              </w:rPr>
              <w:t>~In-line</w:t>
            </w:r>
          </w:p>
        </w:tc>
      </w:tr>
      <w:tr>
        <w:tc>
          <w:tcPr>
            <w:tcW w:type="dxa" w:w="960"/>
          </w:tcPr>
          <w:p>
            <w:r>
              <w:rPr>
                <w:rFonts w:ascii="Calibri" w:hAnsi="Calibri"/>
                <w:sz w:val="22"/>
              </w:rPr>
              <w:t>EBITDA</w:t>
            </w:r>
          </w:p>
        </w:tc>
        <w:tc>
          <w:tcPr>
            <w:tcW w:type="dxa" w:w="960"/>
          </w:tcPr>
          <w:p>
            <w:r>
              <w:rPr>
                <w:rFonts w:ascii="Calibri" w:hAnsi="Calibri"/>
                <w:sz w:val="22"/>
              </w:rPr>
              <w:t>FY2026</w:t>
            </w:r>
          </w:p>
        </w:tc>
        <w:tc>
          <w:tcPr>
            <w:tcW w:type="dxa" w:w="960"/>
          </w:tcPr>
          <w:p>
            <w:r>
              <w:rPr>
                <w:rFonts w:ascii="Calibri" w:hAnsi="Calibri"/>
                <w:sz w:val="22"/>
              </w:rPr>
              <w:t>$22.571B</w:t>
            </w:r>
          </w:p>
        </w:tc>
        <w:tc>
          <w:tcPr>
            <w:tcW w:type="dxa" w:w="960"/>
          </w:tcPr>
          <w:p>
            <w:r>
              <w:rPr>
                <w:rFonts w:ascii="Calibri" w:hAnsi="Calibri"/>
                <w:sz w:val="22"/>
              </w:rPr>
              <w:t>$22.513B</w:t>
            </w:r>
          </w:p>
        </w:tc>
        <w:tc>
          <w:tcPr>
            <w:tcW w:type="dxa" w:w="960"/>
          </w:tcPr>
          <w:p>
            <w:r>
              <w:rPr>
                <w:rFonts w:ascii="Calibri" w:hAnsi="Calibri"/>
                <w:sz w:val="22"/>
              </w:rPr>
              <w:t>-0.3%</w:t>
            </w:r>
          </w:p>
        </w:tc>
        <w:tc>
          <w:tcPr>
            <w:tcW w:type="dxa" w:w="960"/>
          </w:tcPr>
          <w:p>
            <w:r>
              <w:rPr>
                <w:rFonts w:ascii="Calibri" w:hAnsi="Calibri"/>
                <w:sz w:val="22"/>
              </w:rPr>
              <w:t>Slight growth</w:t>
            </w:r>
          </w:p>
        </w:tc>
        <w:tc>
          <w:tcPr>
            <w:tcW w:type="dxa" w:w="960"/>
          </w:tcPr>
          <w:p>
            <w:r>
              <w:rPr>
                <w:rFonts w:ascii="Calibri" w:hAnsi="Calibri"/>
                <w:sz w:val="22"/>
              </w:rPr>
              <w:t>Slight growth</w:t>
            </w:r>
          </w:p>
        </w:tc>
        <w:tc>
          <w:tcPr>
            <w:tcW w:type="dxa" w:w="960"/>
          </w:tcPr>
          <w:p>
            <w:r>
              <w:rPr>
                <w:rFonts w:ascii="Calibri" w:hAnsi="Calibri"/>
                <w:sz w:val="22"/>
              </w:rPr>
              <w:t>Unchanged</w:t>
            </w:r>
          </w:p>
        </w:tc>
        <w:tc>
          <w:tcPr>
            <w:tcW w:type="dxa" w:w="960"/>
          </w:tcPr>
          <w:p>
            <w:r>
              <w:rPr>
                <w:rFonts w:ascii="Calibri" w:hAnsi="Calibri"/>
                <w:sz w:val="22"/>
              </w:rPr>
              <w:t>~In-line</w:t>
            </w:r>
          </w:p>
        </w:tc>
      </w:tr>
      <w:tr>
        <w:tc>
          <w:tcPr>
            <w:tcW w:type="dxa" w:w="960"/>
          </w:tcPr>
          <w:p>
            <w:r>
              <w:rPr>
                <w:rFonts w:ascii="Calibri" w:hAnsi="Calibri"/>
                <w:sz w:val="22"/>
              </w:rPr>
              <w:t>EPS (Diluted)</w:t>
            </w:r>
          </w:p>
        </w:tc>
        <w:tc>
          <w:tcPr>
            <w:tcW w:type="dxa" w:w="960"/>
          </w:tcPr>
          <w:p>
            <w:r>
              <w:rPr>
                <w:rFonts w:ascii="Calibri" w:hAnsi="Calibri"/>
                <w:sz w:val="22"/>
              </w:rPr>
              <w:t>Q2 2026</w:t>
            </w:r>
          </w:p>
        </w:tc>
        <w:tc>
          <w:tcPr>
            <w:tcW w:type="dxa" w:w="960"/>
          </w:tcPr>
          <w:p>
            <w:r>
              <w:rPr>
                <w:rFonts w:ascii="Calibri" w:hAnsi="Calibri"/>
                <w:sz w:val="22"/>
              </w:rPr>
              <w:t>$10.25</w:t>
            </w:r>
          </w:p>
        </w:tc>
        <w:tc>
          <w:tcPr>
            <w:tcW w:type="dxa" w:w="960"/>
          </w:tcPr>
          <w:p>
            <w:r>
              <w:rPr>
                <w:rFonts w:ascii="Calibri" w:hAnsi="Calibri"/>
                <w:sz w:val="22"/>
              </w:rPr>
              <w:t>$10.00</w:t>
            </w:r>
          </w:p>
        </w:tc>
        <w:tc>
          <w:tcPr>
            <w:tcW w:type="dxa" w:w="960"/>
          </w:tcPr>
          <w:p>
            <w:r>
              <w:rPr>
                <w:rFonts w:ascii="Calibri" w:hAnsi="Calibri"/>
                <w:sz w:val="22"/>
              </w:rPr>
              <w:t>-2.4%</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EPS (Diluted)</w:t>
            </w:r>
          </w:p>
        </w:tc>
        <w:tc>
          <w:tcPr>
            <w:tcW w:type="dxa" w:w="960"/>
          </w:tcPr>
          <w:p>
            <w:r>
              <w:rPr>
                <w:rFonts w:ascii="Calibri" w:hAnsi="Calibri"/>
                <w:sz w:val="22"/>
              </w:rPr>
              <w:t>FY2026</w:t>
            </w:r>
          </w:p>
        </w:tc>
        <w:tc>
          <w:tcPr>
            <w:tcW w:type="dxa" w:w="960"/>
          </w:tcPr>
          <w:p>
            <w:r>
              <w:rPr>
                <w:rFonts w:ascii="Calibri" w:hAnsi="Calibri"/>
                <w:sz w:val="22"/>
              </w:rPr>
              <w:t>$41.91</w:t>
            </w:r>
          </w:p>
        </w:tc>
        <w:tc>
          <w:tcPr>
            <w:tcW w:type="dxa" w:w="960"/>
          </w:tcPr>
          <w:p>
            <w:r>
              <w:rPr>
                <w:rFonts w:ascii="Calibri" w:hAnsi="Calibri"/>
                <w:sz w:val="22"/>
              </w:rPr>
              <w:t>$41.41</w:t>
            </w:r>
          </w:p>
        </w:tc>
        <w:tc>
          <w:tcPr>
            <w:tcW w:type="dxa" w:w="960"/>
          </w:tcPr>
          <w:p>
            <w:r>
              <w:rPr>
                <w:rFonts w:ascii="Calibri" w:hAnsi="Calibri"/>
                <w:sz w:val="22"/>
              </w:rPr>
              <w:t>-1.2%</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Internet Net Adds</w:t>
            </w:r>
          </w:p>
        </w:tc>
        <w:tc>
          <w:tcPr>
            <w:tcW w:type="dxa" w:w="960"/>
          </w:tcPr>
          <w:p>
            <w:r>
              <w:rPr>
                <w:rFonts w:ascii="Calibri" w:hAnsi="Calibri"/>
                <w:sz w:val="22"/>
              </w:rPr>
              <w:t>Q2 2026</w:t>
            </w:r>
          </w:p>
        </w:tc>
        <w:tc>
          <w:tcPr>
            <w:tcW w:type="dxa" w:w="960"/>
          </w:tcPr>
          <w:p>
            <w:r>
              <w:rPr>
                <w:rFonts w:ascii="Calibri" w:hAnsi="Calibri"/>
                <w:sz w:val="22"/>
              </w:rPr>
              <w:t>-140.7K</w:t>
            </w:r>
          </w:p>
        </w:tc>
        <w:tc>
          <w:tcPr>
            <w:tcW w:type="dxa" w:w="960"/>
          </w:tcPr>
          <w:p>
            <w:r>
              <w:rPr>
                <w:rFonts w:ascii="Calibri" w:hAnsi="Calibri"/>
                <w:sz w:val="22"/>
              </w:rPr>
              <w:t>-140.7K</w:t>
            </w:r>
          </w:p>
        </w:tc>
        <w:tc>
          <w:tcPr>
            <w:tcW w:type="dxa" w:w="960"/>
          </w:tcPr>
          <w:p>
            <w:r>
              <w:rPr>
                <w:rFonts w:ascii="Calibri" w:hAnsi="Calibri"/>
                <w:sz w:val="22"/>
              </w:rPr>
              <w:t>~0%</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Mobile Net Adds</w:t>
            </w:r>
          </w:p>
        </w:tc>
        <w:tc>
          <w:tcPr>
            <w:tcW w:type="dxa" w:w="960"/>
          </w:tcPr>
          <w:p>
            <w:r>
              <w:rPr>
                <w:rFonts w:ascii="Calibri" w:hAnsi="Calibri"/>
                <w:sz w:val="22"/>
              </w:rPr>
              <w:t>Q2 2026</w:t>
            </w:r>
          </w:p>
        </w:tc>
        <w:tc>
          <w:tcPr>
            <w:tcW w:type="dxa" w:w="960"/>
          </w:tcPr>
          <w:p>
            <w:r>
              <w:rPr>
                <w:rFonts w:ascii="Calibri" w:hAnsi="Calibri"/>
                <w:sz w:val="22"/>
              </w:rPr>
              <w:t>+382.9K</w:t>
            </w:r>
          </w:p>
        </w:tc>
        <w:tc>
          <w:tcPr>
            <w:tcW w:type="dxa" w:w="960"/>
          </w:tcPr>
          <w:p>
            <w:r>
              <w:rPr>
                <w:rFonts w:ascii="Calibri" w:hAnsi="Calibri"/>
                <w:sz w:val="22"/>
              </w:rPr>
              <w:t>+382.7K</w:t>
            </w:r>
          </w:p>
        </w:tc>
        <w:tc>
          <w:tcPr>
            <w:tcW w:type="dxa" w:w="960"/>
          </w:tcPr>
          <w:p>
            <w:r>
              <w:rPr>
                <w:rFonts w:ascii="Calibri" w:hAnsi="Calibri"/>
                <w:sz w:val="22"/>
              </w:rPr>
              <w:t>~0%</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Residential Internet ARPU</w:t>
            </w:r>
          </w:p>
        </w:tc>
        <w:tc>
          <w:tcPr>
            <w:tcW w:type="dxa" w:w="960"/>
          </w:tcPr>
          <w:p>
            <w:r>
              <w:rPr>
                <w:rFonts w:ascii="Calibri" w:hAnsi="Calibri"/>
                <w:sz w:val="22"/>
              </w:rPr>
              <w:t>Q2 2026</w:t>
            </w:r>
          </w:p>
        </w:tc>
        <w:tc>
          <w:tcPr>
            <w:tcW w:type="dxa" w:w="960"/>
          </w:tcPr>
          <w:p>
            <w:r>
              <w:rPr>
                <w:rFonts w:ascii="Calibri" w:hAnsi="Calibri"/>
                <w:sz w:val="22"/>
              </w:rPr>
              <w:t>$71.11</w:t>
            </w:r>
          </w:p>
        </w:tc>
        <w:tc>
          <w:tcPr>
            <w:tcW w:type="dxa" w:w="960"/>
          </w:tcPr>
          <w:p>
            <w:r>
              <w:rPr>
                <w:rFonts w:ascii="Calibri" w:hAnsi="Calibri"/>
                <w:sz w:val="22"/>
              </w:rPr>
              <w:t>$70.97</w:t>
            </w:r>
          </w:p>
        </w:tc>
        <w:tc>
          <w:tcPr>
            <w:tcW w:type="dxa" w:w="960"/>
          </w:tcPr>
          <w:p>
            <w:r>
              <w:rPr>
                <w:rFonts w:ascii="Calibri" w:hAnsi="Calibri"/>
                <w:sz w:val="22"/>
              </w:rPr>
              <w:t>-0.2%</w:t>
            </w:r>
          </w:p>
        </w:tc>
        <w:tc>
          <w:tcPr>
            <w:tcW w:type="dxa" w:w="960"/>
          </w:tcPr>
          <w:p>
            <w:r>
              <w:rPr>
                <w:rFonts w:ascii="Calibri" w:hAnsi="Calibri"/>
                <w:sz w:val="22"/>
              </w:rPr>
              <w:t>"Close either way to flat"</w:t>
            </w:r>
          </w:p>
        </w:tc>
        <w:tc>
          <w:tcPr>
            <w:tcW w:type="dxa" w:w="960"/>
          </w:tcPr>
          <w:p>
            <w:r>
              <w:rPr>
                <w:rFonts w:ascii="Calibri" w:hAnsi="Calibri"/>
                <w:sz w:val="22"/>
              </w:rPr>
              <w:t>Unchanged</w:t>
            </w:r>
          </w:p>
        </w:tc>
        <w:tc>
          <w:tcPr>
            <w:tcW w:type="dxa" w:w="960"/>
          </w:tcPr>
          <w:p>
            <w:r>
              <w:rPr>
                <w:rFonts w:ascii="Calibri" w:hAnsi="Calibri"/>
                <w:sz w:val="22"/>
              </w:rPr>
              <w:t>Unchanged</w:t>
            </w:r>
          </w:p>
        </w:tc>
        <w:tc>
          <w:tcPr>
            <w:tcW w:type="dxa" w:w="960"/>
          </w:tcPr>
          <w:p>
            <w:r>
              <w:rPr>
                <w:rFonts w:ascii="Calibri" w:hAnsi="Calibri"/>
                <w:sz w:val="22"/>
              </w:rPr>
              <w:t>~In-line</w:t>
            </w:r>
          </w:p>
        </w:tc>
      </w:tr>
    </w:tbl>
    <w:p>
      <w:r>
        <w:rPr>
          <w:rFonts w:ascii="Calibri" w:hAnsi="Calibri"/>
          <w:i/>
          <w:color w:val="525866"/>
          <w:sz w:val="22"/>
        </w:rPr>
        <w:t xml:space="preserve">Source: Visible Alpha Consensus and Actuals Data. </w:t>
      </w:r>
      <w:r>
        <w:rPr>
          <w:rFonts w:ascii="Calibri" w:hAnsi="Calibri"/>
          <w:color w:val="525866"/>
          <w:sz w:val="22"/>
        </w:rPr>
        <w:t>Estimate revisions have been minimal since Q1 earnings — the street is essentially holding its numbers, with EBITDA revised down only ~$34M for Q2 and ~$58M for FY2026. The lack of meaningful downward revision despite the stock’s -47% drawdown suggests the market is pricing in structural risk beyond what consensus captures, or is waiting for Cox close clarity before resetting numbers.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CHTR has declined </w:t>
      </w:r>
      <w:r>
        <w:rPr>
          <w:rFonts w:ascii="Calibri" w:hAnsi="Calibri"/>
          <w:b/>
          <w:color w:val="525866"/>
          <w:sz w:val="22"/>
        </w:rPr>
        <w:t>~47% from pre-Q1 levels</w:t>
      </w:r>
      <w:r>
        <w:rPr>
          <w:rFonts w:ascii="Calibri" w:hAnsi="Calibri"/>
          <w:color w:val="525866"/>
          <w:sz w:val="22"/>
        </w:rPr>
        <w:t xml:space="preserve"> (from $241.78 on Apr 23 to ~$128 today), dramatically underperforming CMCSA (-20.5%) and TMUS (-10.2%) since the Q1 print — the selloff is almost entirely </w:t>
      </w:r>
      <w:r>
        <w:rPr>
          <w:rFonts w:ascii="Calibri" w:hAnsi="Calibri"/>
          <w:b/>
          <w:color w:val="525866"/>
          <w:sz w:val="22"/>
        </w:rPr>
        <w:t>sentiment/multiple-driven</w:t>
      </w:r>
      <w:r>
        <w:rPr>
          <w:rFonts w:ascii="Calibri" w:hAnsi="Calibri"/>
          <w:color w:val="525866"/>
          <w:sz w:val="22"/>
        </w:rPr>
        <w:t>, not estimate-driven, as EBITDA revisions have been minimal.</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CHTR vs. CMCSA vs. TMUS — Indexed Price Performance Since Q1 2026 Earnings (Apr 24, 2026). Base = 100. Source: Stock Price Data.</w:t>
      </w:r>
    </w:p>
    <w:p>
      <w:r>
        <w:rPr>
          <w:rFonts w:ascii="Calibri" w:hAnsi="Calibri"/>
          <w:color w:val="525866"/>
          <w:sz w:val="22"/>
        </w:rPr>
        <w:t xml:space="preserve">CHTR closed at $129.22 on July 22, 2026 (post-market ~$128.00), down approximately </w:t>
      </w:r>
      <w:r>
        <w:rPr>
          <w:rFonts w:ascii="Calibri" w:hAnsi="Calibri"/>
          <w:b/>
          <w:color w:val="525866"/>
          <w:sz w:val="22"/>
        </w:rPr>
        <w:t>46.5% from its pre-Q1 close of $241.78</w:t>
      </w:r>
      <w:r>
        <w:rPr>
          <w:rFonts w:ascii="Calibri" w:hAnsi="Calibri"/>
          <w:color w:val="525866"/>
          <w:sz w:val="22"/>
        </w:rPr>
        <w:t xml:space="preserve"> on April 23. The stock fell </w:t>
      </w:r>
      <w:r>
        <w:rPr>
          <w:rFonts w:ascii="Calibri" w:hAnsi="Calibri"/>
          <w:b/>
          <w:color w:val="525866"/>
          <w:sz w:val="22"/>
        </w:rPr>
        <w:t>25.2% on Q1 earnings day alone</w:t>
      </w:r>
      <w:r>
        <w:rPr>
          <w:rFonts w:ascii="Calibri" w:hAnsi="Calibri"/>
          <w:color w:val="525866"/>
          <w:sz w:val="22"/>
        </w:rPr>
        <w:t xml:space="preserve"> (April 24: $241.78 → $180.13), then continued to drift lower through May and June, hitting a trough near $125 in late June. CMCSA fell 20.5% over the same period (also reporting Q2 today), while TMUS declined 10.2%. The divergence between CHTR’s stock performance and its relatively stable EBITDA estimates (-0.3% revision for FY2026) confirms this is a </w:t>
      </w:r>
      <w:r>
        <w:rPr>
          <w:rFonts w:ascii="Calibri" w:hAnsi="Calibri"/>
          <w:b/>
          <w:color w:val="525866"/>
          <w:sz w:val="22"/>
        </w:rPr>
        <w:t>multiple compression story driven by ARPU uncertainty and Cox integration risk</w:t>
      </w:r>
      <w:r>
        <w:rPr>
          <w:rFonts w:ascii="Calibri" w:hAnsi="Calibri"/>
          <w:color w:val="525866"/>
          <w:sz w:val="22"/>
        </w:rPr>
        <w:t>, not a fundamental earnings deterioration. At current levels, the stock is trading at implied negative perpetuity growth per management’s own characterization.</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Cox acquisition California approval (August 13 deadline)</w:t>
      </w:r>
      <w:r>
        <w:rPr>
          <w:rFonts w:ascii="Calibri" w:hAnsi="Calibri"/>
          <w:color w:val="525866"/>
          <w:sz w:val="22"/>
        </w:rPr>
        <w:t xml:space="preserve"> is the single most important near-term catalyst — a close unlocks $800M+ in synergies and a massive mobile greenfield, while a delay would extend the uncertainty overhang.</w:t>
      </w:r>
    </w:p>
    <w:p>
      <w:pPr>
        <w:pStyle w:val="ListBullet"/>
        <w:ind w:left="360" w:hanging="360"/>
      </w:pPr>
      <w:r>
        <w:rPr>
          <w:rFonts w:ascii="Calibri" w:hAnsi="Calibri"/>
          <w:b/>
          <w:color w:val="525866"/>
          <w:sz w:val="22"/>
        </w:rPr>
        <w:t xml:space="preserve">July 23, 2026 — CMCSA Q2 2026 Earnings (today): </w:t>
      </w:r>
      <w:r>
        <w:rPr>
          <w:rFonts w:ascii="Calibri" w:hAnsi="Calibri"/>
          <w:color w:val="525866"/>
          <w:sz w:val="22"/>
        </w:rPr>
        <w:t xml:space="preserve">Comcast reported broadband losses of -167K (improved 34K YoY), ARPU -3.8% YoY, and record mobile net adds of 448K (10.2M total lines). </w:t>
      </w:r>
      <w:r>
        <w:rPr>
          <w:rFonts w:ascii="Calibri" w:hAnsi="Calibri"/>
          <w:i/>
          <w:color w:val="525866"/>
          <w:sz w:val="22"/>
        </w:rPr>
        <w:t xml:space="preserve">Implication: </w:t>
      </w:r>
      <w:r>
        <w:rPr>
          <w:rFonts w:ascii="Calibri" w:hAnsi="Calibri"/>
          <w:color w:val="525866"/>
          <w:sz w:val="22"/>
        </w:rPr>
        <w:t>ARPU pressure is a sector-wide phenomenon, not Charter-specific, but CMCSA’s free wireless line strategy is a key driver of ARPU dilution that Charter does not replicate at the same scale.</w:t>
      </w:r>
    </w:p>
    <w:p>
      <w:pPr>
        <w:pStyle w:val="ListBullet"/>
        <w:ind w:left="360" w:hanging="360"/>
      </w:pPr>
      <w:r>
        <w:rPr>
          <w:rFonts w:ascii="Calibri" w:hAnsi="Calibri"/>
          <w:b/>
          <w:color w:val="525866"/>
          <w:sz w:val="22"/>
        </w:rPr>
        <w:t xml:space="preserve">July 22, 2026 — AT&amp;T Q2 2026 Earnings: </w:t>
      </w:r>
      <w:r>
        <w:rPr>
          <w:rFonts w:ascii="Calibri" w:hAnsi="Calibri"/>
          <w:color w:val="525866"/>
          <w:sz w:val="22"/>
        </w:rPr>
        <w:t xml:space="preserve">AT&amp;T reported its best-ever Q2 for fiber net adds, 432K postpaid phone net adds, and wireless service revenue +3.3% YoY. Fiber ARPU -1.3% YoY (Lumen acquisition impact). </w:t>
      </w:r>
      <w:r>
        <w:rPr>
          <w:rFonts w:ascii="Calibri" w:hAnsi="Calibri"/>
          <w:i/>
          <w:color w:val="525866"/>
          <w:sz w:val="22"/>
        </w:rPr>
        <w:t xml:space="preserve">Implication: </w:t>
      </w:r>
      <w:r>
        <w:rPr>
          <w:rFonts w:ascii="Calibri" w:hAnsi="Calibri"/>
          <w:color w:val="525866"/>
          <w:sz w:val="22"/>
        </w:rPr>
        <w:t>Fiber overbuild continues to accelerate into Charter’s footprint; AT&amp;T’s convergence strategy is gaining traction.</w:t>
      </w:r>
    </w:p>
    <w:p>
      <w:pPr>
        <w:pStyle w:val="ListBullet"/>
        <w:ind w:left="360" w:hanging="360"/>
      </w:pPr>
      <w:r>
        <w:rPr>
          <w:rFonts w:ascii="Calibri" w:hAnsi="Calibri"/>
          <w:b/>
          <w:color w:val="525866"/>
          <w:sz w:val="22"/>
        </w:rPr>
        <w:t xml:space="preserve">July 23, 2026 — T-Mobile Q2 2026 Earnings (today): </w:t>
      </w:r>
      <w:r>
        <w:rPr>
          <w:rFonts w:ascii="Calibri" w:hAnsi="Calibri"/>
          <w:color w:val="525866"/>
          <w:sz w:val="22"/>
        </w:rPr>
        <w:t xml:space="preserve">TMUS reported FWA net adds in the “upper 400K range,” postpaid service revenue +13%, and raised FCF guidance by $200M. Majority of FWA share gains still coming from cable. </w:t>
      </w:r>
      <w:r>
        <w:rPr>
          <w:rFonts w:ascii="Calibri" w:hAnsi="Calibri"/>
          <w:i/>
          <w:color w:val="525866"/>
          <w:sz w:val="22"/>
        </w:rPr>
        <w:t xml:space="preserve">Implication: </w:t>
      </w:r>
      <w:r>
        <w:rPr>
          <w:rFonts w:ascii="Calibri" w:hAnsi="Calibri"/>
          <w:color w:val="525866"/>
          <w:sz w:val="22"/>
        </w:rPr>
        <w:t>FWA competitive pressure on Charter’s broadband base is not abating.</w:t>
      </w:r>
    </w:p>
    <w:p>
      <w:pPr>
        <w:pStyle w:val="ListBullet"/>
        <w:ind w:left="360" w:hanging="360"/>
      </w:pPr>
      <w:r>
        <w:rPr>
          <w:rFonts w:ascii="Calibri" w:hAnsi="Calibri"/>
          <w:b/>
          <w:color w:val="525866"/>
          <w:sz w:val="22"/>
        </w:rPr>
        <w:t xml:space="preserve">June 29, 2026 — Charter Q2 2026 Earnings Webcast Announced: </w:t>
      </w:r>
      <w:r>
        <w:rPr>
          <w:rFonts w:ascii="Calibri" w:hAnsi="Calibri"/>
          <w:color w:val="525866"/>
          <w:sz w:val="22"/>
        </w:rPr>
        <w:t>Charter announced the Q2 2026 earnings webcast date for late July 2026.</w:t>
      </w:r>
    </w:p>
    <w:p>
      <w:pPr>
        <w:pStyle w:val="ListBullet"/>
        <w:ind w:left="360" w:hanging="360"/>
      </w:pPr>
      <w:r>
        <w:rPr>
          <w:rFonts w:ascii="Calibri" w:hAnsi="Calibri"/>
          <w:b/>
          <w:color w:val="525866"/>
          <w:sz w:val="22"/>
        </w:rPr>
        <w:t xml:space="preserve">May 20, 2026 — JPM TMT Conference (CFO Jessica Fischer): </w:t>
      </w:r>
      <w:r>
        <w:rPr>
          <w:rFonts w:ascii="Calibri" w:hAnsi="Calibri"/>
          <w:color w:val="525866"/>
          <w:sz w:val="22"/>
        </w:rPr>
        <w:t xml:space="preserve">Reiterated no change to FY2026 EBITDA guidance; confirmed </w:t>
      </w:r>
      <w:r>
        <w:rPr>
          <w:rFonts w:ascii="Calibri" w:hAnsi="Calibri"/>
          <w:b/>
          <w:color w:val="525866"/>
          <w:sz w:val="22"/>
        </w:rPr>
        <w:t>2-yr price lock sunset begins Q4 2026</w:t>
      </w:r>
      <w:r>
        <w:rPr>
          <w:rFonts w:ascii="Calibri" w:hAnsi="Calibri"/>
          <w:color w:val="525866"/>
          <w:sz w:val="22"/>
        </w:rPr>
        <w:t xml:space="preserve"> and 3-yr price lock sunset begins Q4 2027; confirmed cost pass-through deferred to late summer with value enhancements; Cox trending toward summer close.</w:t>
      </w:r>
    </w:p>
    <w:p>
      <w:pPr>
        <w:pStyle w:val="ListBullet"/>
        <w:ind w:left="360" w:hanging="360"/>
      </w:pPr>
      <w:r>
        <w:rPr>
          <w:rFonts w:ascii="Calibri" w:hAnsi="Calibri"/>
          <w:b/>
          <w:color w:val="525866"/>
          <w:sz w:val="22"/>
        </w:rPr>
        <w:t xml:space="preserve">May 14, 2026 — MoffettNathanson Conference (CEO Chris Winfrey): </w:t>
      </w:r>
      <w:r>
        <w:rPr>
          <w:rFonts w:ascii="Calibri" w:hAnsi="Calibri"/>
          <w:color w:val="525866"/>
          <w:sz w:val="22"/>
        </w:rPr>
        <w:t xml:space="preserve">Confirmed market reaction to Q1 was “centered very much around broadband ARPU”; reiterated converged ARPU is growing; </w:t>
      </w:r>
      <w:r>
        <w:rPr>
          <w:rFonts w:ascii="Calibri" w:hAnsi="Calibri"/>
          <w:b/>
          <w:color w:val="525866"/>
          <w:sz w:val="22"/>
        </w:rPr>
        <w:t>Cox synergies raised to $800M from $500M</w:t>
      </w:r>
      <w:r>
        <w:rPr>
          <w:rFonts w:ascii="Calibri" w:hAnsi="Calibri"/>
          <w:color w:val="525866"/>
          <w:sz w:val="22"/>
        </w:rPr>
        <w:t>; Nick Jeffery joining as COO September 1 with focus on go-to-market and NPS improvement.</w:t>
      </w:r>
    </w:p>
    <w:p>
      <w:pPr>
        <w:pStyle w:val="ListBullet"/>
        <w:ind w:left="360" w:hanging="360"/>
      </w:pPr>
      <w:r>
        <w:rPr>
          <w:rFonts w:ascii="Calibri" w:hAnsi="Calibri"/>
          <w:b/>
          <w:color w:val="525866"/>
          <w:sz w:val="22"/>
        </w:rPr>
        <w:t xml:space="preserve">September 1, 2026 (upcoming) — Nick Jeffery Joins as COO: </w:t>
      </w:r>
      <w:r>
        <w:rPr>
          <w:rFonts w:ascii="Calibri" w:hAnsi="Calibri"/>
          <w:color w:val="525866"/>
          <w:sz w:val="22"/>
        </w:rPr>
        <w:t xml:space="preserve">Covering marketing, sales, field operations, and customer operations. </w:t>
      </w:r>
      <w:r>
        <w:rPr>
          <w:rFonts w:ascii="Calibri" w:hAnsi="Calibri"/>
          <w:i/>
          <w:color w:val="525866"/>
          <w:sz w:val="22"/>
        </w:rPr>
        <w:t xml:space="preserve">Implication: </w:t>
      </w:r>
      <w:r>
        <w:rPr>
          <w:rFonts w:ascii="Calibri" w:hAnsi="Calibri"/>
          <w:color w:val="525866"/>
          <w:sz w:val="22"/>
        </w:rPr>
        <w:t>New operational leadership could accelerate NPS improvement and go-to-market execution, but impact will take time to materialize.</w:t>
      </w:r>
    </w:p>
    <w:p>
      <w:pPr>
        <w:pStyle w:val="ListBullet"/>
        <w:ind w:left="360" w:hanging="360"/>
      </w:pPr>
      <w:r>
        <w:rPr>
          <w:rFonts w:ascii="Calibri" w:hAnsi="Calibri"/>
          <w:b/>
          <w:color w:val="525866"/>
          <w:sz w:val="22"/>
        </w:rPr>
        <w:t xml:space="preserve">Cox Acquisition — California CPUC: </w:t>
      </w:r>
      <w:r>
        <w:rPr>
          <w:rFonts w:ascii="Calibri" w:hAnsi="Calibri"/>
          <w:color w:val="525866"/>
          <w:sz w:val="22"/>
        </w:rPr>
        <w:t xml:space="preserve">Settlements reached with Cal Advocates and CETF; </w:t>
      </w:r>
      <w:r>
        <w:rPr>
          <w:rFonts w:ascii="Calibri" w:hAnsi="Calibri"/>
          <w:b/>
          <w:color w:val="525866"/>
          <w:sz w:val="22"/>
        </w:rPr>
        <w:t>August 13 decision deadline requested</w:t>
      </w:r>
      <w:r>
        <w:rPr>
          <w:rFonts w:ascii="Calibri" w:hAnsi="Calibri"/>
          <w:color w:val="525866"/>
          <w:sz w:val="22"/>
        </w:rPr>
        <w:t xml:space="preserve">; all other state and federal approvals complete as of March 2026. </w:t>
      </w:r>
      <w:r>
        <w:rPr>
          <w:rFonts w:ascii="Calibri" w:hAnsi="Calibri"/>
          <w:i/>
          <w:color w:val="525866"/>
          <w:sz w:val="22"/>
        </w:rPr>
        <w:t xml:space="preserve">Implication: </w:t>
      </w:r>
      <w:r>
        <w:rPr>
          <w:rFonts w:ascii="Calibri" w:hAnsi="Calibri"/>
          <w:color w:val="525866"/>
          <w:sz w:val="22"/>
        </w:rPr>
        <w:t>This is the single most important near-term binary catalyst.</w:t>
      </w:r>
    </w:p>
    <w:p>
      <w:r>
        <w:br w:type="page"/>
      </w:r>
    </w:p>
    <w:p>
      <w:pPr>
        <w:pStyle w:val="Heading2"/>
      </w:pPr>
      <w:r>
        <w:rPr>
          <w:rFonts w:ascii="Calibri" w:hAnsi="Calibri"/>
          <w:b/>
          <w:color w:val="3B4259"/>
          <w:sz w:val="28"/>
        </w:rPr>
        <w:t>7. Peer Commentaries — Read-Throughs for Q2 2026</w:t>
      </w:r>
    </w:p>
    <w:p>
      <w:r>
        <w:rPr>
          <w:rFonts w:ascii="Calibri" w:hAnsi="Calibri"/>
          <w:b/>
          <w:color w:val="525866"/>
          <w:sz w:val="22"/>
        </w:rPr>
        <w:t xml:space="preserve">Key Takeaway: </w:t>
      </w:r>
      <w:r>
        <w:rPr>
          <w:rFonts w:ascii="Calibri" w:hAnsi="Calibri"/>
          <w:color w:val="525866"/>
          <w:sz w:val="22"/>
        </w:rPr>
        <w:t xml:space="preserve">Today’s Q2 prints from CMCSA and TMUS, plus AT&amp;T’s Q2 yesterday, provide the most current read-through for Charter’s Q2 setup — the </w:t>
      </w:r>
      <w:r>
        <w:rPr>
          <w:rFonts w:ascii="Calibri" w:hAnsi="Calibri"/>
          <w:b/>
          <w:color w:val="525866"/>
          <w:sz w:val="22"/>
        </w:rPr>
        <w:t>sector-wide ARPU pressure from CMCSA</w:t>
      </w:r>
      <w:r>
        <w:rPr>
          <w:rFonts w:ascii="Calibri" w:hAnsi="Calibri"/>
          <w:color w:val="525866"/>
          <w:sz w:val="22"/>
        </w:rPr>
        <w:t xml:space="preserve"> is a mixed signal (validates Charter’s challenge but also shows it’s not Charter-specific), while </w:t>
      </w:r>
      <w:r>
        <w:rPr>
          <w:rFonts w:ascii="Calibri" w:hAnsi="Calibri"/>
          <w:b/>
          <w:color w:val="525866"/>
          <w:sz w:val="22"/>
        </w:rPr>
        <w:t>TMUS’s continued FWA share gains from cable</w:t>
      </w:r>
      <w:r>
        <w:rPr>
          <w:rFonts w:ascii="Calibri" w:hAnsi="Calibri"/>
          <w:color w:val="525866"/>
          <w:sz w:val="22"/>
        </w:rPr>
        <w:t xml:space="preserve"> confirm the competitive headwind is structural.</w:t>
      </w:r>
    </w:p>
    <w:p>
      <w:r>
        <w:rPr>
          <w:rFonts w:ascii="Calibri" w:hAnsi="Calibri"/>
          <w:color w:val="525866"/>
          <w:sz w:val="22"/>
        </w:rPr>
        <w:t>This section covers peer commentary from the last 60 days relevant to Charter’s Q2 2026 reporting period. Only commentary about Q2 2026 dynamics or forward-looking statements made after Q1 2026 earnings is included.</w:t>
      </w:r>
    </w:p>
    <w:p>
      <w:pPr>
        <w:pStyle w:val="Heading3"/>
      </w:pPr>
      <w:r>
        <w:rPr>
          <w:rFonts w:ascii="Calibri" w:hAnsi="Calibri"/>
          <w:b/>
          <w:color w:val="3B4259"/>
          <w:sz w:val="24"/>
        </w:rPr>
        <w:t>A. CMCSA Q2 2026 Earnings (July 23, 2026) — Most Direct Read-Through</w:t>
      </w:r>
    </w:p>
    <w:p>
      <w:pPr>
        <w:pStyle w:val="ListBullet"/>
        <w:ind w:left="360" w:hanging="360"/>
      </w:pPr>
      <w:r>
        <w:rPr>
          <w:rFonts w:ascii="Calibri" w:hAnsi="Calibri"/>
          <w:b/>
          <w:color w:val="525866"/>
          <w:sz w:val="22"/>
        </w:rPr>
        <w:t xml:space="preserve">Broadband ARPU -3.8% YoY in Q2: </w:t>
      </w:r>
      <w:r>
        <w:rPr>
          <w:rFonts w:ascii="Calibri" w:hAnsi="Calibri"/>
          <w:color w:val="525866"/>
          <w:sz w:val="22"/>
        </w:rPr>
        <w:t xml:space="preserve">Comcast explicitly did not take a broadband rate increase and migrated customers to simplified pricing with lower everyday price points. Free wireless line accounting is dilutive to broadband ARPU. Management expects “modest improvement” in ARPU starting Q3 as they anniversary the go-to-market strategy launch and free lines convert to paid. </w:t>
      </w:r>
      <w:r>
        <w:rPr>
          <w:rFonts w:ascii="Calibri" w:hAnsi="Calibri"/>
          <w:b/>
          <w:color w:val="525866"/>
          <w:sz w:val="22"/>
        </w:rPr>
        <w:t xml:space="preserve">Read-through for CHTR: </w:t>
      </w:r>
      <w:r>
        <w:rPr>
          <w:rFonts w:ascii="Calibri" w:hAnsi="Calibri"/>
          <w:color w:val="525866"/>
          <w:sz w:val="22"/>
        </w:rPr>
        <w:t>ARPU pressure is a sector-wide phenomenon. Charter’s deferred cost pass-through (planned for late summer) could provide a relative ARPU tailwind vs. CMCSA in Q2/Q3.</w:t>
      </w:r>
    </w:p>
    <w:p>
      <w:pPr>
        <w:pStyle w:val="ListBullet"/>
        <w:ind w:left="360" w:hanging="360"/>
      </w:pPr>
      <w:r>
        <w:rPr>
          <w:rFonts w:ascii="Calibri" w:hAnsi="Calibri"/>
          <w:b/>
          <w:color w:val="525866"/>
          <w:sz w:val="22"/>
        </w:rPr>
        <w:t xml:space="preserve">Broadband losses -167K in Q2 (improved 34K YoY): </w:t>
      </w:r>
      <w:r>
        <w:rPr>
          <w:rFonts w:ascii="Calibri" w:hAnsi="Calibri"/>
          <w:color w:val="525866"/>
          <w:sz w:val="22"/>
        </w:rPr>
        <w:t xml:space="preserve">Comcast cited “irrational” promotional behavior from some competitors and continued fiber/FWA/satellite competition. ~45% of base now on gig-plus tiers. </w:t>
      </w:r>
      <w:r>
        <w:rPr>
          <w:rFonts w:ascii="Calibri" w:hAnsi="Calibri"/>
          <w:b/>
          <w:color w:val="525866"/>
          <w:sz w:val="22"/>
        </w:rPr>
        <w:t xml:space="preserve">Read-through for CHTR: </w:t>
      </w:r>
      <w:r>
        <w:rPr>
          <w:rFonts w:ascii="Calibri" w:hAnsi="Calibri"/>
          <w:color w:val="525866"/>
          <w:sz w:val="22"/>
        </w:rPr>
        <w:t>Sector broadband losses remain elevated; Charter’s consensus of -141K is slightly better than CMCSA’s actual, which could be a mild positive signal if Charter’s different pricing approach (no free line dilution) is working.</w:t>
      </w:r>
    </w:p>
    <w:p>
      <w:pPr>
        <w:pStyle w:val="ListBullet"/>
        <w:ind w:left="360" w:hanging="360"/>
      </w:pPr>
      <w:r>
        <w:rPr>
          <w:rFonts w:ascii="Calibri" w:hAnsi="Calibri"/>
          <w:b/>
          <w:color w:val="525866"/>
          <w:sz w:val="22"/>
        </w:rPr>
        <w:t xml:space="preserve">Mobile record — 448K net adds, 10.2M total lines, converged ARPU of $85: </w:t>
      </w:r>
      <w:r>
        <w:rPr>
          <w:rFonts w:ascii="Calibri" w:hAnsi="Calibri"/>
          <w:color w:val="525866"/>
          <w:sz w:val="22"/>
        </w:rPr>
        <w:t xml:space="preserve">Comcast described converged ARPU as “significantly below the competition,” indicating a long runway for growth. </w:t>
      </w:r>
      <w:r>
        <w:rPr>
          <w:rFonts w:ascii="Calibri" w:hAnsi="Calibri"/>
          <w:b/>
          <w:color w:val="525866"/>
          <w:sz w:val="22"/>
        </w:rPr>
        <w:t xml:space="preserve">Read-through for CHTR: </w:t>
      </w:r>
      <w:r>
        <w:rPr>
          <w:rFonts w:ascii="Calibri" w:hAnsi="Calibri"/>
          <w:color w:val="525866"/>
          <w:sz w:val="22"/>
        </w:rPr>
        <w:t>Cable mobile is working broadly; Charter’s 12M+ lines and comparable converged ARPU validate the convergence thesis.</w:t>
      </w:r>
    </w:p>
    <w:p>
      <w:pPr>
        <w:pStyle w:val="ListBullet"/>
        <w:ind w:left="360" w:hanging="360"/>
      </w:pPr>
      <w:r>
        <w:rPr>
          <w:rFonts w:ascii="Calibri" w:hAnsi="Calibri"/>
          <w:b/>
          <w:color w:val="525866"/>
          <w:sz w:val="22"/>
        </w:rPr>
        <w:t xml:space="preserve">Competition: </w:t>
      </w:r>
      <w:r>
        <w:rPr>
          <w:rFonts w:ascii="Calibri" w:hAnsi="Calibri"/>
          <w:color w:val="525866"/>
          <w:sz w:val="22"/>
        </w:rPr>
        <w:t xml:space="preserve">“Fixed wireless remains aggressive. Fiber continues to expand. Satellite is emerging.” Promotional intensity increased in some markets with “irrational” behavior. </w:t>
      </w:r>
      <w:r>
        <w:rPr>
          <w:rFonts w:ascii="Calibri" w:hAnsi="Calibri"/>
          <w:b/>
          <w:color w:val="525866"/>
          <w:sz w:val="22"/>
        </w:rPr>
        <w:t xml:space="preserve">Read-through for CHTR: </w:t>
      </w:r>
      <w:r>
        <w:rPr>
          <w:rFonts w:ascii="Calibri" w:hAnsi="Calibri"/>
          <w:color w:val="525866"/>
          <w:sz w:val="22"/>
        </w:rPr>
        <w:t>Competitive environment for Q2 is consistent with what Charter described at May conferences — no improvement.</w:t>
      </w:r>
    </w:p>
    <w:p>
      <w:pPr>
        <w:pStyle w:val="Heading3"/>
      </w:pPr>
      <w:r>
        <w:rPr>
          <w:rFonts w:ascii="Calibri" w:hAnsi="Calibri"/>
          <w:b/>
          <w:color w:val="3B4259"/>
          <w:sz w:val="24"/>
        </w:rPr>
        <w:t>B. AT&amp;T Q2 2026 Earnings (July 22, 2026)</w:t>
      </w:r>
    </w:p>
    <w:p>
      <w:pPr>
        <w:pStyle w:val="ListBullet"/>
        <w:ind w:left="360" w:hanging="360"/>
      </w:pPr>
      <w:r>
        <w:rPr>
          <w:rFonts w:ascii="Calibri" w:hAnsi="Calibri"/>
          <w:b/>
          <w:color w:val="525866"/>
          <w:sz w:val="22"/>
        </w:rPr>
        <w:t xml:space="preserve">Best-ever Q2 for AT&amp;T fiber net adds; added over 1M fiber locations in Q2: </w:t>
      </w:r>
      <w:r>
        <w:rPr>
          <w:rFonts w:ascii="Calibri" w:hAnsi="Calibri"/>
          <w:color w:val="525866"/>
          <w:sz w:val="22"/>
        </w:rPr>
        <w:t xml:space="preserve">Accelerating pace toward 8M new locations in 2026, including 4M+ from Lumen. AT&amp;T CEO stated “where we have fiber, we win with fiber and wireless.” </w:t>
      </w:r>
      <w:r>
        <w:rPr>
          <w:rFonts w:ascii="Calibri" w:hAnsi="Calibri"/>
          <w:b/>
          <w:color w:val="525866"/>
          <w:sz w:val="22"/>
        </w:rPr>
        <w:t xml:space="preserve">Read-through for CHTR: </w:t>
      </w:r>
      <w:r>
        <w:rPr>
          <w:rFonts w:ascii="Calibri" w:hAnsi="Calibri"/>
          <w:color w:val="525866"/>
          <w:sz w:val="22"/>
        </w:rPr>
        <w:t>AT&amp;T’s fiber build is accelerating into Charter’s footprint — a direct competitive threat to Charter’s broadband base.</w:t>
      </w:r>
    </w:p>
    <w:p>
      <w:pPr>
        <w:pStyle w:val="ListBullet"/>
        <w:ind w:left="360" w:hanging="360"/>
      </w:pPr>
      <w:r>
        <w:rPr>
          <w:rFonts w:ascii="Calibri" w:hAnsi="Calibri"/>
          <w:b/>
          <w:color w:val="525866"/>
          <w:sz w:val="22"/>
        </w:rPr>
        <w:t xml:space="preserve">Fiber ARPU -1.3% YoY (Lumen acquisition impact; ex-Lumen, flat YoY): </w:t>
      </w:r>
      <w:r>
        <w:rPr>
          <w:rFonts w:ascii="Calibri" w:hAnsi="Calibri"/>
          <w:color w:val="525866"/>
          <w:sz w:val="22"/>
        </w:rPr>
        <w:t xml:space="preserve">AT&amp;T explicitly targeting value segment and underpenetrated markets. </w:t>
      </w:r>
      <w:r>
        <w:rPr>
          <w:rFonts w:ascii="Calibri" w:hAnsi="Calibri"/>
          <w:b/>
          <w:color w:val="525866"/>
          <w:sz w:val="22"/>
        </w:rPr>
        <w:t xml:space="preserve">Read-through for CHTR: </w:t>
      </w:r>
      <w:r>
        <w:rPr>
          <w:rFonts w:ascii="Calibri" w:hAnsi="Calibri"/>
          <w:color w:val="525866"/>
          <w:sz w:val="22"/>
        </w:rPr>
        <w:t>AT&amp;T is competing aggressively on price in fiber markets, which could pressure Charter’s ability to take price in overlapping geographies.</w:t>
      </w:r>
    </w:p>
    <w:p>
      <w:pPr>
        <w:pStyle w:val="ListBullet"/>
        <w:ind w:left="360" w:hanging="360"/>
      </w:pPr>
      <w:r>
        <w:rPr>
          <w:rFonts w:ascii="Calibri" w:hAnsi="Calibri"/>
          <w:b/>
          <w:color w:val="525866"/>
          <w:sz w:val="22"/>
        </w:rPr>
        <w:t xml:space="preserve">AT&amp;T CEO noted “Comcast run plays to work on retaining the base”: </w:t>
      </w:r>
      <w:r>
        <w:rPr>
          <w:rFonts w:ascii="Calibri" w:hAnsi="Calibri"/>
          <w:color w:val="525866"/>
          <w:sz w:val="22"/>
        </w:rPr>
        <w:t xml:space="preserve">Also noted cable’s “wireless base is maybe going to require a little bit more maintenance at this juncture.” </w:t>
      </w:r>
      <w:r>
        <w:rPr>
          <w:rFonts w:ascii="Calibri" w:hAnsi="Calibri"/>
          <w:b/>
          <w:color w:val="525866"/>
          <w:sz w:val="22"/>
        </w:rPr>
        <w:t xml:space="preserve">Read-through for CHTR: </w:t>
      </w:r>
      <w:r>
        <w:rPr>
          <w:rFonts w:ascii="Calibri" w:hAnsi="Calibri"/>
          <w:color w:val="525866"/>
          <w:sz w:val="22"/>
        </w:rPr>
        <w:t>AT&amp;T sees cable wireless as a potential vulnerability — worth monitoring whether Charter’s mobile churn trends are stable in Q2.</w:t>
      </w:r>
    </w:p>
    <w:p>
      <w:pPr>
        <w:pStyle w:val="ListBullet"/>
        <w:ind w:left="360" w:hanging="360"/>
      </w:pPr>
      <w:r>
        <w:rPr>
          <w:rFonts w:ascii="Calibri" w:hAnsi="Calibri"/>
          <w:b/>
          <w:color w:val="525866"/>
          <w:sz w:val="22"/>
        </w:rPr>
        <w:t xml:space="preserve">432K postpaid phone net adds; wireless service revenue +3.3% YoY; pricing actions took effect in Q2: </w:t>
      </w:r>
      <w:r>
        <w:rPr>
          <w:rFonts w:ascii="Calibri" w:hAnsi="Calibri"/>
          <w:b/>
          <w:color w:val="525866"/>
          <w:sz w:val="22"/>
        </w:rPr>
        <w:t xml:space="preserve">Read-through for CHTR: </w:t>
      </w:r>
      <w:r>
        <w:rPr>
          <w:rFonts w:ascii="Calibri" w:hAnsi="Calibri"/>
          <w:color w:val="525866"/>
          <w:sz w:val="22"/>
        </w:rPr>
        <w:t>Wireless pricing environment is rational; AT&amp;T’s pricing actions did not appear to disrupt the market.</w:t>
      </w:r>
    </w:p>
    <w:p>
      <w:pPr>
        <w:pStyle w:val="Heading3"/>
      </w:pPr>
      <w:r>
        <w:rPr>
          <w:rFonts w:ascii="Calibri" w:hAnsi="Calibri"/>
          <w:b/>
          <w:color w:val="3B4259"/>
          <w:sz w:val="24"/>
        </w:rPr>
        <w:t>C. T-Mobile Q2 2026 Earnings (July 23, 2026)</w:t>
      </w:r>
    </w:p>
    <w:p>
      <w:pPr>
        <w:pStyle w:val="ListBullet"/>
        <w:ind w:left="360" w:hanging="360"/>
      </w:pPr>
      <w:r>
        <w:rPr>
          <w:rFonts w:ascii="Calibri" w:hAnsi="Calibri"/>
          <w:b/>
          <w:color w:val="525866"/>
          <w:sz w:val="22"/>
        </w:rPr>
        <w:t xml:space="preserve">FWA net adds “upper 400K range” again in Q2; majority of FWA share gains still coming from cable: </w:t>
      </w:r>
      <w:r>
        <w:rPr>
          <w:rFonts w:ascii="Calibri" w:hAnsi="Calibri"/>
          <w:color w:val="525866"/>
          <w:sz w:val="22"/>
        </w:rPr>
        <w:t xml:space="preserve">T-Mobile’s FWA speeds 50% faster than next fixed wireless competitor; NPS higher than all broadband categories including fiber. </w:t>
      </w:r>
      <w:r>
        <w:rPr>
          <w:rFonts w:ascii="Calibri" w:hAnsi="Calibri"/>
          <w:b/>
          <w:color w:val="525866"/>
          <w:sz w:val="22"/>
        </w:rPr>
        <w:t xml:space="preserve">Read-through for CHTR: </w:t>
      </w:r>
      <w:r>
        <w:rPr>
          <w:rFonts w:ascii="Calibri" w:hAnsi="Calibri"/>
          <w:color w:val="525866"/>
          <w:sz w:val="22"/>
        </w:rPr>
        <w:t>FWA competitive pressure on Charter’s broadband base is structural and not abating. T-Mobile is taking share primarily from cable, not from other FWA providers.</w:t>
      </w:r>
    </w:p>
    <w:p>
      <w:pPr>
        <w:pStyle w:val="ListBullet"/>
        <w:ind w:left="360" w:hanging="360"/>
      </w:pPr>
      <w:r>
        <w:rPr>
          <w:rFonts w:ascii="Calibri" w:hAnsi="Calibri"/>
          <w:b/>
          <w:color w:val="525866"/>
          <w:sz w:val="22"/>
        </w:rPr>
        <w:t xml:space="preserve">T-Mobile raised FWA subscriber target to 15M by 2030; two-thirds of FWA customers in top 100 markets: </w:t>
      </w:r>
      <w:r>
        <w:rPr>
          <w:rFonts w:ascii="Calibri" w:hAnsi="Calibri"/>
          <w:b/>
          <w:color w:val="525866"/>
          <w:sz w:val="22"/>
        </w:rPr>
        <w:t xml:space="preserve">Read-through for CHTR: </w:t>
      </w:r>
      <w:r>
        <w:rPr>
          <w:rFonts w:ascii="Calibri" w:hAnsi="Calibri"/>
          <w:color w:val="525866"/>
          <w:sz w:val="22"/>
        </w:rPr>
        <w:t>The competitive threat is concentrated in Charter’s densest, most valuable markets.</w:t>
      </w:r>
    </w:p>
    <w:p>
      <w:pPr>
        <w:pStyle w:val="ListBullet"/>
        <w:ind w:left="360" w:hanging="360"/>
      </w:pPr>
      <w:r>
        <w:rPr>
          <w:rFonts w:ascii="Calibri" w:hAnsi="Calibri"/>
          <w:b/>
          <w:color w:val="525866"/>
          <w:sz w:val="22"/>
        </w:rPr>
        <w:t xml:space="preserve">Postpaid service revenue +13%, core adjusted EBITDA +12%, FCF margin 25%: </w:t>
      </w:r>
      <w:r>
        <w:rPr>
          <w:rFonts w:ascii="Calibri" w:hAnsi="Calibri"/>
          <w:b/>
          <w:color w:val="525866"/>
          <w:sz w:val="22"/>
        </w:rPr>
        <w:t xml:space="preserve">Read-through for CHTR: </w:t>
      </w:r>
      <w:r>
        <w:rPr>
          <w:rFonts w:ascii="Calibri" w:hAnsi="Calibri"/>
          <w:color w:val="525866"/>
          <w:sz w:val="22"/>
        </w:rPr>
        <w:t>T-Mobile’s financial strength enables continued aggressive investment in network and FWA, sustaining competitive pressure.</w:t>
      </w:r>
    </w:p>
    <w:p>
      <w:pPr>
        <w:pStyle w:val="ListBullet"/>
        <w:ind w:left="360" w:hanging="360"/>
      </w:pPr>
      <w:r>
        <w:rPr>
          <w:rFonts w:ascii="Calibri" w:hAnsi="Calibri"/>
          <w:b/>
          <w:color w:val="525866"/>
          <w:sz w:val="22"/>
        </w:rPr>
        <w:t xml:space="preserve">~70% of T-Mobile’s broadband customers also have mobile (vs. Charter’s ~20% mobile penetration of internet base): </w:t>
      </w:r>
      <w:r>
        <w:rPr>
          <w:rFonts w:ascii="Calibri" w:hAnsi="Calibri"/>
          <w:b/>
          <w:color w:val="525866"/>
          <w:sz w:val="22"/>
        </w:rPr>
        <w:t xml:space="preserve">Read-through for CHTR: </w:t>
      </w:r>
      <w:r>
        <w:rPr>
          <w:rFonts w:ascii="Calibri" w:hAnsi="Calibri"/>
          <w:color w:val="525866"/>
          <w:sz w:val="22"/>
        </w:rPr>
        <w:t>Charter’s mobile attach rate has significant runway but also highlights the convergence gap vs. T-Mobile.</w:t>
      </w:r>
    </w:p>
    <w:p>
      <w:pPr>
        <w:pStyle w:val="Heading3"/>
      </w:pPr>
      <w:r>
        <w:rPr>
          <w:rFonts w:ascii="Calibri" w:hAnsi="Calibri"/>
          <w:b/>
          <w:color w:val="3B4259"/>
          <w:sz w:val="24"/>
        </w:rPr>
        <w:t>D. Conference Commentary (May 2026) — Forward-Looking Signals for Q2</w:t>
      </w:r>
    </w:p>
    <w:p>
      <w:pPr>
        <w:pStyle w:val="ListBullet"/>
        <w:ind w:left="360" w:hanging="360"/>
      </w:pPr>
      <w:r>
        <w:rPr>
          <w:rFonts w:ascii="Calibri" w:hAnsi="Calibri"/>
          <w:b/>
          <w:color w:val="525866"/>
          <w:sz w:val="22"/>
        </w:rPr>
        <w:t xml:space="preserve">CMCSA at MoffettNathanson (May 14): </w:t>
      </w:r>
      <w:r>
        <w:rPr>
          <w:rFonts w:ascii="Calibri" w:hAnsi="Calibri"/>
          <w:color w:val="525866"/>
          <w:sz w:val="22"/>
        </w:rPr>
        <w:t xml:space="preserve">Comcast guided to “some incremental pressure in the second quarter” on ARPU, with “relief as we come out of the year.” Confirmed fixed wireless “will continue to be aggressive.” DOCSIS 4.0 deployments “starting to accelerate.” </w:t>
      </w:r>
      <w:r>
        <w:rPr>
          <w:rFonts w:ascii="Calibri" w:hAnsi="Calibri"/>
          <w:b/>
          <w:color w:val="525866"/>
          <w:sz w:val="22"/>
        </w:rPr>
        <w:t xml:space="preserve">Read-through for CHTR: </w:t>
      </w:r>
      <w:r>
        <w:rPr>
          <w:rFonts w:ascii="Calibri" w:hAnsi="Calibri"/>
          <w:color w:val="525866"/>
          <w:sz w:val="22"/>
        </w:rPr>
        <w:t>CMCSA’s own Q2 ARPU guidance (incremental pressure) was confirmed by today’s -3.8% print — validates that Q2 is a trough quarter for cable ARPU broadly.</w:t>
      </w:r>
    </w:p>
    <w:p>
      <w:pPr>
        <w:pStyle w:val="ListBullet"/>
        <w:ind w:left="360" w:hanging="360"/>
      </w:pPr>
      <w:r>
        <w:rPr>
          <w:rFonts w:ascii="Calibri" w:hAnsi="Calibri"/>
          <w:b/>
          <w:color w:val="525866"/>
          <w:sz w:val="22"/>
        </w:rPr>
        <w:t xml:space="preserve">T-Mobile at MoffettNathanson (May 13): </w:t>
      </w:r>
      <w:r>
        <w:rPr>
          <w:rFonts w:ascii="Calibri" w:hAnsi="Calibri"/>
          <w:color w:val="525866"/>
          <w:sz w:val="22"/>
        </w:rPr>
        <w:t xml:space="preserve">Majority of FWA share gains from cable; T-Mobile’s 5G broadband speeds 50% faster than next FWA competitor; increased FWA subscriber target to 15M. </w:t>
      </w:r>
      <w:r>
        <w:rPr>
          <w:rFonts w:ascii="Calibri" w:hAnsi="Calibri"/>
          <w:b/>
          <w:color w:val="525866"/>
          <w:sz w:val="22"/>
        </w:rPr>
        <w:t xml:space="preserve">Read-through for CHTR: </w:t>
      </w:r>
      <w:r>
        <w:rPr>
          <w:rFonts w:ascii="Calibri" w:hAnsi="Calibri"/>
          <w:color w:val="525866"/>
          <w:sz w:val="22"/>
        </w:rPr>
        <w:t>Consistent with Q2 earnings — FWA pressure is structural.</w:t>
      </w:r>
    </w:p>
    <w:p>
      <w:pPr>
        <w:pStyle w:val="ListBullet"/>
        <w:ind w:left="360" w:hanging="360"/>
      </w:pPr>
      <w:r>
        <w:rPr>
          <w:rFonts w:ascii="Calibri" w:hAnsi="Calibri"/>
          <w:b/>
          <w:color w:val="525866"/>
          <w:sz w:val="22"/>
        </w:rPr>
        <w:t xml:space="preserve">AT&amp;T at JPM (May 19): </w:t>
      </w:r>
      <w:r>
        <w:rPr>
          <w:rFonts w:ascii="Calibri" w:hAnsi="Calibri"/>
          <w:color w:val="525866"/>
          <w:sz w:val="22"/>
        </w:rPr>
        <w:t xml:space="preserve">AT&amp;T confirmed accelerating fiber build; noted Comcast “run plays to work on retaining the base.” Reaffirmed EBITDA growth acceleration and cash flow improvement for Q2. </w:t>
      </w:r>
      <w:r>
        <w:rPr>
          <w:rFonts w:ascii="Calibri" w:hAnsi="Calibri"/>
          <w:b/>
          <w:color w:val="525866"/>
          <w:sz w:val="22"/>
        </w:rPr>
        <w:t xml:space="preserve">Read-through for CHTR: </w:t>
      </w:r>
      <w:r>
        <w:rPr>
          <w:rFonts w:ascii="Calibri" w:hAnsi="Calibri"/>
          <w:color w:val="525866"/>
          <w:sz w:val="22"/>
        </w:rPr>
        <w:t>AT&amp;T’s fiber acceleration is a confirmed headwind for Charter’s Q2 and beyond.</w:t>
      </w:r>
    </w:p>
    <w:p>
      <w:pPr>
        <w:pStyle w:val="ListBullet"/>
        <w:ind w:left="360" w:hanging="360"/>
      </w:pPr>
      <w:r>
        <w:rPr>
          <w:rFonts w:ascii="Calibri" w:hAnsi="Calibri"/>
          <w:b/>
          <w:color w:val="525866"/>
          <w:sz w:val="22"/>
        </w:rPr>
        <w:t xml:space="preserve">Verizon at JPM (May 18): </w:t>
      </w:r>
      <w:r>
        <w:rPr>
          <w:rFonts w:ascii="Calibri" w:hAnsi="Calibri"/>
          <w:color w:val="525866"/>
          <w:sz w:val="22"/>
        </w:rPr>
        <w:t xml:space="preserve">Verizon decided “not going to take up pricing again” — lapping by Q3, becoming a tailwind. Promo amortization headwind of ~190bps expected to “begin to turn” possibly as soon as Q3. </w:t>
      </w:r>
      <w:r>
        <w:rPr>
          <w:rFonts w:ascii="Calibri" w:hAnsi="Calibri"/>
          <w:b/>
          <w:color w:val="525866"/>
          <w:sz w:val="22"/>
        </w:rPr>
        <w:t xml:space="preserve">Read-through for CHTR: </w:t>
      </w:r>
      <w:r>
        <w:rPr>
          <w:rFonts w:ascii="Calibri" w:hAnsi="Calibri"/>
          <w:color w:val="525866"/>
          <w:sz w:val="22"/>
        </w:rPr>
        <w:t>Verizon’s pricing restraint reduces one source of competitive pressure in wireless, but Verizon’s FWA deceleration (10+ straight quarters of decelerating growth per TMUS) means it is less of a broadband threat to Charter than TMUS.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most notable signal is </w:t>
      </w:r>
      <w:r>
        <w:rPr>
          <w:rFonts w:ascii="Calibri" w:hAnsi="Calibri"/>
          <w:b/>
          <w:color w:val="525866"/>
          <w:sz w:val="22"/>
        </w:rPr>
        <w:t>clustered open-market buying by the CEO and two independent directors immediately after the Q1 earnings selloff (April 28)</w:t>
      </w:r>
      <w:r>
        <w:rPr>
          <w:rFonts w:ascii="Calibri" w:hAnsi="Calibri"/>
          <w:color w:val="525866"/>
          <w:sz w:val="22"/>
        </w:rPr>
        <w:t xml:space="preserve"> — a strong conviction signal at the lows. Liberty Broadband’s dispositions are structural (related to the Cox merger mechanics) and should not be read as bearish.</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Name</w:t>
            </w:r>
          </w:p>
        </w:tc>
        <w:tc>
          <w:tcPr>
            <w:tcW w:type="dxa" w:w="1234"/>
          </w:tcPr>
          <w:p>
            <w:r>
              <w:rPr>
                <w:rFonts w:ascii="Calibri" w:hAnsi="Calibri"/>
                <w:b/>
                <w:sz w:val="22"/>
              </w:rPr>
              <w:t>Title</w:t>
            </w:r>
          </w:p>
        </w:tc>
        <w:tc>
          <w:tcPr>
            <w:tcW w:type="dxa" w:w="1234"/>
          </w:tcPr>
          <w:p>
            <w:r>
              <w:rPr>
                <w:rFonts w:ascii="Calibri" w:hAnsi="Calibri"/>
                <w:b/>
                <w:sz w:val="22"/>
              </w:rPr>
              <w:t>Transaction Type</w:t>
            </w:r>
          </w:p>
        </w:tc>
        <w:tc>
          <w:tcPr>
            <w:tcW w:type="dxa" w:w="1234"/>
          </w:tcPr>
          <w:p>
            <w:r>
              <w:rPr>
                <w:rFonts w:ascii="Calibri" w:hAnsi="Calibri"/>
                <w:b/>
                <w:sz w:val="22"/>
              </w:rPr>
              <w:t>Value (Est.)</w:t>
            </w:r>
          </w:p>
        </w:tc>
        <w:tc>
          <w:tcPr>
            <w:tcW w:type="dxa" w:w="1234"/>
          </w:tcPr>
          <w:p>
            <w:r>
              <w:rPr>
                <w:rFonts w:ascii="Calibri" w:hAnsi="Calibri"/>
                <w:b/>
                <w:sz w:val="22"/>
              </w:rPr>
              <w:t>Shares</w:t>
            </w:r>
          </w:p>
        </w:tc>
        <w:tc>
          <w:tcPr>
            <w:tcW w:type="dxa" w:w="1234"/>
          </w:tcPr>
          <w:p>
            <w:r>
              <w:rPr>
                <w:rFonts w:ascii="Calibri" w:hAnsi="Calibri"/>
                <w:b/>
                <w:sz w:val="22"/>
              </w:rPr>
              <w:t>Date (Effective)</w:t>
            </w:r>
          </w:p>
        </w:tc>
        <w:tc>
          <w:tcPr>
            <w:tcW w:type="dxa" w:w="1234"/>
          </w:tcPr>
          <w:p>
            <w:r>
              <w:rPr>
                <w:rFonts w:ascii="Calibri" w:hAnsi="Calibri"/>
                <w:b/>
                <w:sz w:val="22"/>
              </w:rPr>
              <w:t>Note</w:t>
            </w:r>
          </w:p>
        </w:tc>
      </w:tr>
      <w:tr>
        <w:tc>
          <w:tcPr>
            <w:tcW w:type="dxa" w:w="1234"/>
          </w:tcPr>
          <w:p>
            <w:r>
              <w:rPr>
                <w:rFonts w:ascii="Calibri" w:hAnsi="Calibri"/>
                <w:sz w:val="22"/>
              </w:rPr>
              <w:t>Christopher L. Winfrey</w:t>
            </w:r>
          </w:p>
        </w:tc>
        <w:tc>
          <w:tcPr>
            <w:tcW w:type="dxa" w:w="1234"/>
          </w:tcPr>
          <w:p>
            <w:r>
              <w:rPr>
                <w:rFonts w:ascii="Calibri" w:hAnsi="Calibri"/>
                <w:sz w:val="22"/>
              </w:rPr>
              <w:t>President &amp; CEO</w:t>
            </w:r>
          </w:p>
        </w:tc>
        <w:tc>
          <w:tcPr>
            <w:tcW w:type="dxa" w:w="1234"/>
          </w:tcPr>
          <w:p>
            <w:r>
              <w:rPr>
                <w:rFonts w:ascii="Calibri" w:hAnsi="Calibri"/>
                <w:b/>
                <w:color w:val="30A46C"/>
                <w:sz w:val="22"/>
              </w:rPr>
              <w:t>Open Market Buy</w:t>
            </w:r>
          </w:p>
        </w:tc>
        <w:tc>
          <w:tcPr>
            <w:tcW w:type="dxa" w:w="1234"/>
          </w:tcPr>
          <w:p>
            <w:r>
              <w:rPr>
                <w:rFonts w:ascii="Calibri" w:hAnsi="Calibri"/>
                <w:sz w:val="22"/>
              </w:rPr>
              <w:t>~$500K</w:t>
            </w:r>
          </w:p>
        </w:tc>
        <w:tc>
          <w:tcPr>
            <w:tcW w:type="dxa" w:w="1234"/>
          </w:tcPr>
          <w:p>
            <w:r>
              <w:rPr>
                <w:rFonts w:ascii="Calibri" w:hAnsi="Calibri"/>
                <w:sz w:val="22"/>
              </w:rPr>
              <w:t>3,468 shares (+ 3,468 via spouse)</w:t>
            </w:r>
          </w:p>
        </w:tc>
        <w:tc>
          <w:tcPr>
            <w:tcW w:type="dxa" w:w="1234"/>
          </w:tcPr>
          <w:p>
            <w:r>
              <w:rPr>
                <w:rFonts w:ascii="Calibri" w:hAnsi="Calibri"/>
                <w:sz w:val="22"/>
              </w:rPr>
              <w:t>April 28, 2026</w:t>
            </w:r>
          </w:p>
        </w:tc>
        <w:tc>
          <w:tcPr>
            <w:tcW w:type="dxa" w:w="1234"/>
          </w:tcPr>
          <w:p>
            <w:r>
              <w:rPr>
                <w:rFonts w:ascii="Calibri" w:hAnsi="Calibri"/>
                <w:sz w:val="22"/>
              </w:rPr>
              <w:t>Discretionary buy day after Q1 earnings selloff; also bought via spouse account</w:t>
            </w:r>
          </w:p>
        </w:tc>
      </w:tr>
      <w:tr>
        <w:tc>
          <w:tcPr>
            <w:tcW w:type="dxa" w:w="1234"/>
          </w:tcPr>
          <w:p>
            <w:r>
              <w:rPr>
                <w:rFonts w:ascii="Calibri" w:hAnsi="Calibri"/>
                <w:sz w:val="22"/>
              </w:rPr>
              <w:t>Wade Davis</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~$750K</w:t>
            </w:r>
          </w:p>
        </w:tc>
        <w:tc>
          <w:tcPr>
            <w:tcW w:type="dxa" w:w="1234"/>
          </w:tcPr>
          <w:p>
            <w:r>
              <w:rPr>
                <w:rFonts w:ascii="Calibri" w:hAnsi="Calibri"/>
                <w:sz w:val="22"/>
              </w:rPr>
              <w:t>5,728 shares</w:t>
            </w:r>
          </w:p>
        </w:tc>
        <w:tc>
          <w:tcPr>
            <w:tcW w:type="dxa" w:w="1234"/>
          </w:tcPr>
          <w:p>
            <w:r>
              <w:rPr>
                <w:rFonts w:ascii="Calibri" w:hAnsi="Calibri"/>
                <w:sz w:val="22"/>
              </w:rPr>
              <w:t>April 28, 2026</w:t>
            </w:r>
          </w:p>
        </w:tc>
        <w:tc>
          <w:tcPr>
            <w:tcW w:type="dxa" w:w="1234"/>
          </w:tcPr>
          <w:p>
            <w:r>
              <w:rPr>
                <w:rFonts w:ascii="Calibri" w:hAnsi="Calibri"/>
                <w:sz w:val="22"/>
              </w:rPr>
              <w:t>Discretionary buy day after Q1 earnings selloff</w:t>
            </w:r>
          </w:p>
        </w:tc>
      </w:tr>
      <w:tr>
        <w:tc>
          <w:tcPr>
            <w:tcW w:type="dxa" w:w="1234"/>
          </w:tcPr>
          <w:p>
            <w:r>
              <w:rPr>
                <w:rFonts w:ascii="Calibri" w:hAnsi="Calibri"/>
                <w:sz w:val="22"/>
              </w:rPr>
              <w:t>Balan Nair</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~$130K</w:t>
            </w:r>
          </w:p>
        </w:tc>
        <w:tc>
          <w:tcPr>
            <w:tcW w:type="dxa" w:w="1234"/>
          </w:tcPr>
          <w:p>
            <w:r>
              <w:rPr>
                <w:rFonts w:ascii="Calibri" w:hAnsi="Calibri"/>
                <w:sz w:val="22"/>
              </w:rPr>
              <w:t>1,000 shares</w:t>
            </w:r>
          </w:p>
        </w:tc>
        <w:tc>
          <w:tcPr>
            <w:tcW w:type="dxa" w:w="1234"/>
          </w:tcPr>
          <w:p>
            <w:r>
              <w:rPr>
                <w:rFonts w:ascii="Calibri" w:hAnsi="Calibri"/>
                <w:sz w:val="22"/>
              </w:rPr>
              <w:t>April 28, 2026</w:t>
            </w:r>
          </w:p>
        </w:tc>
        <w:tc>
          <w:tcPr>
            <w:tcW w:type="dxa" w:w="1234"/>
          </w:tcPr>
          <w:p>
            <w:r>
              <w:rPr>
                <w:rFonts w:ascii="Calibri" w:hAnsi="Calibri"/>
                <w:sz w:val="22"/>
              </w:rPr>
              <w:t>Discretionary buy day after Q1 earnings selloff</w:t>
            </w:r>
          </w:p>
        </w:tc>
      </w:tr>
      <w:tr>
        <w:tc>
          <w:tcPr>
            <w:tcW w:type="dxa" w:w="1234"/>
          </w:tcPr>
          <w:p>
            <w:r>
              <w:rPr>
                <w:rFonts w:ascii="Calibri" w:hAnsi="Calibri"/>
                <w:sz w:val="22"/>
              </w:rPr>
              <w:t>Mauricio Ramos</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~$1.3M</w:t>
            </w:r>
          </w:p>
        </w:tc>
        <w:tc>
          <w:tcPr>
            <w:tcW w:type="dxa" w:w="1234"/>
          </w:tcPr>
          <w:p>
            <w:r>
              <w:rPr>
                <w:rFonts w:ascii="Calibri" w:hAnsi="Calibri"/>
                <w:sz w:val="22"/>
              </w:rPr>
              <w:t>9,929 shares</w:t>
            </w:r>
          </w:p>
        </w:tc>
        <w:tc>
          <w:tcPr>
            <w:tcW w:type="dxa" w:w="1234"/>
          </w:tcPr>
          <w:p>
            <w:r>
              <w:rPr>
                <w:rFonts w:ascii="Calibri" w:hAnsi="Calibri"/>
                <w:sz w:val="22"/>
              </w:rPr>
              <w:t>May 15, 2026</w:t>
            </w:r>
          </w:p>
        </w:tc>
        <w:tc>
          <w:tcPr>
            <w:tcW w:type="dxa" w:w="1234"/>
          </w:tcPr>
          <w:p>
            <w:r>
              <w:rPr>
                <w:rFonts w:ascii="Calibri" w:hAnsi="Calibri"/>
                <w:sz w:val="22"/>
              </w:rPr>
              <w:t>Discretionary buy ~3 weeks post-earnings</w:t>
            </w:r>
          </w:p>
        </w:tc>
      </w:tr>
      <w:tr>
        <w:tc>
          <w:tcPr>
            <w:tcW w:type="dxa" w:w="1234"/>
          </w:tcPr>
          <w:p>
            <w:r>
              <w:rPr>
                <w:rFonts w:ascii="Calibri" w:hAnsi="Calibri"/>
                <w:sz w:val="22"/>
              </w:rPr>
              <w:t>Thomas Rutledge</w:t>
            </w:r>
          </w:p>
        </w:tc>
        <w:tc>
          <w:tcPr>
            <w:tcW w:type="dxa" w:w="1234"/>
          </w:tcPr>
          <w:p>
            <w:r>
              <w:rPr>
                <w:rFonts w:ascii="Calibri" w:hAnsi="Calibri"/>
                <w:sz w:val="22"/>
              </w:rPr>
              <w:t>Director Emeritus</w:t>
            </w:r>
          </w:p>
        </w:tc>
        <w:tc>
          <w:tcPr>
            <w:tcW w:type="dxa" w:w="1234"/>
          </w:tcPr>
          <w:p>
            <w:r>
              <w:rPr>
                <w:rFonts w:ascii="Calibri" w:hAnsi="Calibri"/>
                <w:b/>
                <w:color w:val="E5484D"/>
                <w:sz w:val="22"/>
              </w:rPr>
              <w:t>Open Market Sale</w:t>
            </w:r>
          </w:p>
        </w:tc>
        <w:tc>
          <w:tcPr>
            <w:tcW w:type="dxa" w:w="1234"/>
          </w:tcPr>
          <w:p>
            <w:r>
              <w:rPr>
                <w:rFonts w:ascii="Calibri" w:hAnsi="Calibri"/>
                <w:sz w:val="22"/>
              </w:rPr>
              <w:t>~$9.2M</w:t>
            </w:r>
          </w:p>
        </w:tc>
        <w:tc>
          <w:tcPr>
            <w:tcW w:type="dxa" w:w="1234"/>
          </w:tcPr>
          <w:p>
            <w:r>
              <w:rPr>
                <w:rFonts w:ascii="Calibri" w:hAnsi="Calibri"/>
                <w:sz w:val="22"/>
              </w:rPr>
              <w:t>69,633 shares</w:t>
            </w:r>
          </w:p>
        </w:tc>
        <w:tc>
          <w:tcPr>
            <w:tcW w:type="dxa" w:w="1234"/>
          </w:tcPr>
          <w:p>
            <w:r>
              <w:rPr>
                <w:rFonts w:ascii="Calibri" w:hAnsi="Calibri"/>
                <w:sz w:val="22"/>
              </w:rPr>
              <w:t>May 26, 2026</w:t>
            </w:r>
          </w:p>
        </w:tc>
        <w:tc>
          <w:tcPr>
            <w:tcW w:type="dxa" w:w="1234"/>
          </w:tcPr>
          <w:p>
            <w:r>
              <w:rPr>
                <w:rFonts w:ascii="Calibri" w:hAnsi="Calibri"/>
                <w:sz w:val="22"/>
              </w:rPr>
              <w:t>Discretionary sale; Rutledge is Director Emeritus (retired CEO), not active management</w:t>
            </w:r>
          </w:p>
        </w:tc>
      </w:tr>
      <w:tr>
        <w:tc>
          <w:tcPr>
            <w:tcW w:type="dxa" w:w="1234"/>
          </w:tcPr>
          <w:p>
            <w:r>
              <w:rPr>
                <w:rFonts w:ascii="Calibri" w:hAnsi="Calibri"/>
                <w:sz w:val="22"/>
              </w:rPr>
              <w:t>Liberty Broadband Corp</w:t>
            </w:r>
          </w:p>
        </w:tc>
        <w:tc>
          <w:tcPr>
            <w:tcW w:type="dxa" w:w="1234"/>
          </w:tcPr>
          <w:p>
            <w:r>
              <w:rPr>
                <w:rFonts w:ascii="Calibri" w:hAnsi="Calibri"/>
                <w:sz w:val="22"/>
              </w:rPr>
              <w:t>10% Owner / Director</w:t>
            </w:r>
          </w:p>
        </w:tc>
        <w:tc>
          <w:tcPr>
            <w:tcW w:type="dxa" w:w="1234"/>
          </w:tcPr>
          <w:p>
            <w:r>
              <w:rPr>
                <w:rFonts w:ascii="Calibri" w:hAnsi="Calibri"/>
                <w:sz w:val="22"/>
              </w:rPr>
              <w:t>Structural Disposition</w:t>
            </w:r>
          </w:p>
        </w:tc>
        <w:tc>
          <w:tcPr>
            <w:tcW w:type="dxa" w:w="1234"/>
          </w:tcPr>
          <w:p>
            <w:r>
              <w:rPr>
                <w:rFonts w:ascii="Calibri" w:hAnsi="Calibri"/>
                <w:sz w:val="22"/>
              </w:rPr>
              <w:t>Various</w:t>
            </w:r>
          </w:p>
        </w:tc>
        <w:tc>
          <w:tcPr>
            <w:tcW w:type="dxa" w:w="1234"/>
          </w:tcPr>
          <w:p>
            <w:r>
              <w:rPr>
                <w:rFonts w:ascii="Calibri" w:hAnsi="Calibri"/>
                <w:sz w:val="22"/>
              </w:rPr>
              <w:t>1,262,078 / 31,315 / 129,907 shares</w:t>
            </w:r>
          </w:p>
        </w:tc>
        <w:tc>
          <w:tcPr>
            <w:tcW w:type="dxa" w:w="1234"/>
          </w:tcPr>
          <w:p>
            <w:r>
              <w:rPr>
                <w:rFonts w:ascii="Calibri" w:hAnsi="Calibri"/>
                <w:sz w:val="22"/>
              </w:rPr>
              <w:t>May 12, Jun 11, Jul 14, 2026</w:t>
            </w:r>
          </w:p>
        </w:tc>
        <w:tc>
          <w:tcPr>
            <w:tcW w:type="dxa" w:w="1234"/>
          </w:tcPr>
          <w:p>
            <w:r>
              <w:rPr>
                <w:rFonts w:ascii="Calibri" w:hAnsi="Calibri"/>
                <w:sz w:val="22"/>
              </w:rPr>
              <w:t>Structural dispositions related to Cox merger mechanics; not a discretionary bearish signal</w:t>
            </w:r>
          </w:p>
        </w:tc>
      </w:tr>
    </w:tbl>
    <w:p>
      <w:r>
        <w:rPr>
          <w:rFonts w:ascii="Calibri" w:hAnsi="Calibri"/>
          <w:color w:val="525866"/>
          <w:sz w:val="22"/>
        </w:rPr>
        <w:t xml:space="preserve">The cluster of open-market buys by CEO Winfrey (personally and via spouse), Director Davis, Director Nair, and Director Ramos in the days immediately following the Q1 selloff is a </w:t>
      </w:r>
      <w:r>
        <w:rPr>
          <w:rFonts w:ascii="Calibri" w:hAnsi="Calibri"/>
          <w:b/>
          <w:color w:val="525866"/>
          <w:sz w:val="22"/>
        </w:rPr>
        <w:t>meaningful bullish signal</w:t>
      </w:r>
      <w:r>
        <w:rPr>
          <w:rFonts w:ascii="Calibri" w:hAnsi="Calibri"/>
          <w:color w:val="525866"/>
          <w:sz w:val="22"/>
        </w:rPr>
        <w:t xml:space="preserve"> — insiders bought at prices ranging from ~$130–$175, well below current levels. Rutledge’s sale is from a retired executive and carries less informational weight. Liberty Broadband’s dispositions are structural and merger-related.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