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Charter Communications (CHTR)</w:t>
      </w:r>
    </w:p>
    <w:p>
      <w:pPr>
        <w:pStyle w:val="Heading2"/>
      </w:pPr>
      <w:r>
        <w:rPr>
          <w:rFonts w:ascii="Calibri" w:hAnsi="Calibri"/>
          <w:b/>
          <w:color w:val="3B4259"/>
          <w:sz w:val="28"/>
        </w:rPr>
        <w:t>2Q 2026 Earnings Preview</w:t>
      </w:r>
    </w:p>
    <w:p>
      <w:r>
        <w:rPr>
          <w:rFonts w:ascii="Calibri" w:hAnsi="Calibri"/>
          <w:b/>
          <w:color w:val="525866"/>
          <w:sz w:val="22"/>
        </w:rPr>
        <w:t xml:space="preserve">Earnings Date: </w:t>
      </w:r>
      <w:r>
        <w:rPr>
          <w:rFonts w:ascii="Calibri" w:hAnsi="Calibri"/>
          <w:color w:val="525866"/>
          <w:sz w:val="22"/>
        </w:rPr>
        <w:t xml:space="preserve">July 24, 2026  </w:t>
      </w:r>
      <w:r>
        <w:rPr>
          <w:rFonts w:ascii="Calibri" w:hAnsi="Calibri"/>
          <w:b/>
          <w:color w:val="525866"/>
          <w:sz w:val="22"/>
        </w:rPr>
        <w:t xml:space="preserve">Prepared: </w:t>
      </w:r>
      <w:r>
        <w:rPr>
          <w:rFonts w:ascii="Calibri" w:hAnsi="Calibri"/>
          <w:color w:val="525866"/>
          <w:sz w:val="22"/>
        </w:rPr>
        <w:t xml:space="preserve">July 23, 2026  </w:t>
      </w:r>
      <w:r>
        <w:rPr>
          <w:rFonts w:ascii="Calibri" w:hAnsi="Calibri"/>
          <w:b/>
          <w:color w:val="525866"/>
          <w:sz w:val="22"/>
        </w:rPr>
        <w:t xml:space="preserve">Reporting Period: </w:t>
      </w:r>
      <w:r>
        <w:rPr>
          <w:rFonts w:ascii="Calibri" w:hAnsi="Calibri"/>
          <w:color w:val="525866"/>
          <w:sz w:val="22"/>
        </w:rPr>
        <w:t>Q2 2026 (April – June 2026)</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b/>
          <w:color w:val="525866"/>
          <w:sz w:val="22"/>
        </w:rPr>
        <w:t xml:space="preserve">The setup is unclear-to-slightly-negative — consensus has drifted lower since Q1's historic selloff, the bar is not demanding, but the single biggest swing factor remains </w:t>
      </w:r>
      <w:r>
        <w:rPr>
          <w:rFonts w:ascii="Calibri" w:hAnsi="Calibri"/>
          <w:color w:val="525866"/>
          <w:sz w:val="22"/>
        </w:rPr>
        <w:t>broadband ARPU trajectory</w:t>
      </w:r>
      <w:r>
        <w:rPr>
          <w:rFonts w:ascii="Calibri" w:hAnsi="Calibri"/>
          <w:b/>
          <w:color w:val="525866"/>
          <w:sz w:val="22"/>
        </w:rPr>
        <w:t>, where any signal of stabilization or a summer price-pass-through could spark a sharp relief rally while continued silence would extend the de-rating.</w:t>
      </w:r>
    </w:p>
    <w:p>
      <w:r>
        <w:rPr>
          <w:rFonts w:ascii="Calibri" w:hAnsi="Calibri"/>
          <w:color w:val="525866"/>
          <w:sz w:val="22"/>
        </w:rPr>
        <w:t xml:space="preserve">Charter heads into 2Q26 earnings with the stock down ~30% since the April 24 print — its worst single-day decline in company history — driven almost entirely by CFO commentary that full-year broadband RPU growth would be "close either way" to flat. The bar heading into Thursday's call is low: consensus internet net adds of approximately -141K are worse than the -120K reported in Q1, and EBITDA estimates of ~$5.57B have been revised down ~$36M since the post-Q1 baseline. Management has since reframed the preferred investor metric as </w:t>
      </w:r>
      <w:r>
        <w:rPr>
          <w:rFonts w:ascii="Calibri" w:hAnsi="Calibri"/>
          <w:b/>
          <w:color w:val="525866"/>
          <w:sz w:val="22"/>
        </w:rPr>
        <w:t>converged household ARPU</w:t>
      </w:r>
      <w:r>
        <w:rPr>
          <w:rFonts w:ascii="Calibri" w:hAnsi="Calibri"/>
          <w:color w:val="525866"/>
          <w:sz w:val="22"/>
        </w:rPr>
        <w:t xml:space="preserve"> (which is growing) rather than single-product internet ARPU, and the CFO confirmed at the JP Morgan conference that cost pass-throughs deferred from Q1 are planned for "later in the summer" paired with value enhancements — a potential positive catalyst if timing is confirmed on the call. Mobile momentum (consensus ~383K net adds) and the Cox acquisition timeline (California CPUC decision deadline of August 13) are the two secondary swing factors; a summer close of Cox would be a meaningful positive surprise. The wildcard is any concrete update on the broadband ARPU inflection timeline — specifically the Q4 2026 sunset of two-product Life Unlimited price locks — which could shift the narrative from structural concern to a defined recovery path.</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b/>
          <w:color w:val="525866"/>
          <w:sz w:val="22"/>
        </w:rPr>
        <w:t xml:space="preserve">Consensus is a low bar on broadband net adds (expecting -141K vs. -120K in Q1) and EBITDA (~$5.57B, down from Q1's $5.64B actual). </w:t>
      </w:r>
      <w:r>
        <w:rPr>
          <w:rFonts w:ascii="Calibri" w:hAnsi="Calibri"/>
          <w:color w:val="525866"/>
          <w:sz w:val="22"/>
        </w:rPr>
        <w:t>Mobile net adds (~383K) is the bigger positive swing factor — any upside there, combined with a constructive ARPU comment, could drive a meaningful stock reaction.</w:t>
      </w:r>
    </w:p>
    <w:p>
      <w:pPr>
        <w:pStyle w:val="Heading3"/>
      </w:pPr>
      <w:r>
        <w:rPr>
          <w:rFonts w:ascii="Calibri" w:hAnsi="Calibri"/>
          <w:b/>
          <w:color w:val="3B4259"/>
          <w:sz w:val="24"/>
        </w:rPr>
        <w:t>Table 1 — Current Quarter Snapshot (2Q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Last Quarter Actual (1Q 2026)</w:t>
            </w:r>
          </w:p>
        </w:tc>
        <w:tc>
          <w:tcPr>
            <w:tcW w:type="dxa" w:w="1234"/>
            <w:shd w:val="clear" w:color="auto" w:fill="3B4259"/>
          </w:tcPr>
          <w:p>
            <w:r>
              <w:rPr>
                <w:rFonts w:ascii="Calibri" w:hAnsi="Calibri"/>
                <w:b/>
                <w:color w:val="FFFFFF"/>
                <w:sz w:val="22"/>
              </w:rPr>
              <w:t>Prior Year Period (2Q 2025)</w:t>
            </w:r>
          </w:p>
        </w:tc>
        <w:tc>
          <w:tcPr>
            <w:tcW w:type="dxa" w:w="1234"/>
            <w:shd w:val="clear" w:color="auto" w:fill="3B4259"/>
          </w:tcPr>
          <w:p>
            <w:r>
              <w:rPr>
                <w:rFonts w:ascii="Calibri" w:hAnsi="Calibri"/>
                <w:b/>
                <w:color w:val="FFFFFF"/>
                <w:sz w:val="22"/>
              </w:rPr>
              <w:t>2Q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Total Revenue ($B)</w:t>
            </w:r>
          </w:p>
        </w:tc>
        <w:tc>
          <w:tcPr>
            <w:tcW w:type="dxa" w:w="1234"/>
          </w:tcPr>
          <w:p>
            <w:r>
              <w:rPr>
                <w:rFonts w:ascii="Calibri" w:hAnsi="Calibri"/>
                <w:sz w:val="22"/>
              </w:rPr>
              <w:t>$13.60B</w:t>
            </w:r>
          </w:p>
        </w:tc>
        <w:tc>
          <w:tcPr>
            <w:tcW w:type="dxa" w:w="1234"/>
          </w:tcPr>
          <w:p>
            <w:r>
              <w:rPr>
                <w:rFonts w:ascii="Calibri" w:hAnsi="Calibri"/>
                <w:sz w:val="22"/>
              </w:rPr>
              <w:t>$13.77B</w:t>
            </w:r>
          </w:p>
        </w:tc>
        <w:tc>
          <w:tcPr>
            <w:tcW w:type="dxa" w:w="1234"/>
          </w:tcPr>
          <w:p>
            <w:r>
              <w:rPr>
                <w:rFonts w:ascii="Calibri" w:hAnsi="Calibri"/>
                <w:sz w:val="22"/>
              </w:rPr>
              <w:t>$13.51B</w:t>
            </w:r>
          </w:p>
        </w:tc>
        <w:tc>
          <w:tcPr>
            <w:tcW w:type="dxa" w:w="1234"/>
          </w:tcPr>
          <w:p>
            <w:r>
              <w:rPr>
                <w:rFonts w:ascii="Calibri" w:hAnsi="Calibri"/>
                <w:sz w:val="22"/>
              </w:rPr>
              <w:t>-1.9% YoY</w:t>
            </w:r>
          </w:p>
        </w:tc>
        <w:tc>
          <w:tcPr>
            <w:tcW w:type="dxa" w:w="1234"/>
          </w:tcPr>
          <w:p>
            <w:r>
              <w:rPr>
                <w:rFonts w:ascii="Calibri" w:hAnsi="Calibri"/>
                <w:sz w:val="22"/>
              </w:rPr>
              <w:t>Slight EBITDA growth ex-transition costs (FY)</w:t>
            </w:r>
          </w:p>
        </w:tc>
        <w:tc>
          <w:tcPr>
            <w:tcW w:type="dxa" w:w="1234"/>
          </w:tcPr>
          <w:p>
            <w:r>
              <w:rPr>
                <w:rFonts w:ascii="Calibri" w:hAnsi="Calibri"/>
                <w:sz w:val="22"/>
              </w:rPr>
              <w:t>N/A (no quarterly revenue guidance)</w:t>
            </w:r>
          </w:p>
        </w:tc>
      </w:tr>
      <w:tr>
        <w:tc>
          <w:tcPr>
            <w:tcW w:type="dxa" w:w="1234"/>
          </w:tcPr>
          <w:p>
            <w:r>
              <w:rPr>
                <w:rFonts w:ascii="Calibri" w:hAnsi="Calibri"/>
                <w:sz w:val="22"/>
              </w:rPr>
              <w:t>EBITDA – Operating ($B)</w:t>
            </w:r>
          </w:p>
        </w:tc>
        <w:tc>
          <w:tcPr>
            <w:tcW w:type="dxa" w:w="1234"/>
          </w:tcPr>
          <w:p>
            <w:r>
              <w:rPr>
                <w:rFonts w:ascii="Calibri" w:hAnsi="Calibri"/>
                <w:sz w:val="22"/>
              </w:rPr>
              <w:t>$5.637B</w:t>
            </w:r>
          </w:p>
        </w:tc>
        <w:tc>
          <w:tcPr>
            <w:tcW w:type="dxa" w:w="1234"/>
          </w:tcPr>
          <w:p>
            <w:r>
              <w:rPr>
                <w:rFonts w:ascii="Calibri" w:hAnsi="Calibri"/>
                <w:sz w:val="22"/>
              </w:rPr>
              <w:t>$5.693B</w:t>
            </w:r>
          </w:p>
        </w:tc>
        <w:tc>
          <w:tcPr>
            <w:tcW w:type="dxa" w:w="1234"/>
          </w:tcPr>
          <w:p>
            <w:r>
              <w:rPr>
                <w:rFonts w:ascii="Calibri" w:hAnsi="Calibri"/>
                <w:sz w:val="22"/>
              </w:rPr>
              <w:t>$5.575B</w:t>
            </w:r>
          </w:p>
        </w:tc>
        <w:tc>
          <w:tcPr>
            <w:tcW w:type="dxa" w:w="1234"/>
          </w:tcPr>
          <w:p>
            <w:r>
              <w:rPr>
                <w:rFonts w:ascii="Calibri" w:hAnsi="Calibri"/>
                <w:sz w:val="22"/>
              </w:rPr>
              <w:t>-2.1% YoY</w:t>
            </w:r>
          </w:p>
        </w:tc>
        <w:tc>
          <w:tcPr>
            <w:tcW w:type="dxa" w:w="1234"/>
          </w:tcPr>
          <w:p>
            <w:r>
              <w:rPr>
                <w:rFonts w:ascii="Calibri" w:hAnsi="Calibri"/>
                <w:sz w:val="22"/>
              </w:rPr>
              <w:t>Slight FY growth ex-transition costs</w:t>
            </w:r>
          </w:p>
        </w:tc>
        <w:tc>
          <w:tcPr>
            <w:tcW w:type="dxa" w:w="1234"/>
          </w:tcPr>
          <w:p>
            <w:r>
              <w:rPr>
                <w:rFonts w:ascii="Calibri" w:hAnsi="Calibri"/>
                <w:sz w:val="22"/>
              </w:rPr>
              <w:t>N/A (FY guidance only)</w:t>
            </w:r>
          </w:p>
        </w:tc>
      </w:tr>
      <w:tr>
        <w:tc>
          <w:tcPr>
            <w:tcW w:type="dxa" w:w="1234"/>
          </w:tcPr>
          <w:p>
            <w:r>
              <w:rPr>
                <w:rFonts w:ascii="Calibri" w:hAnsi="Calibri"/>
                <w:sz w:val="22"/>
              </w:rPr>
              <w:t>EPS – Diluted ($)</w:t>
            </w:r>
          </w:p>
        </w:tc>
        <w:tc>
          <w:tcPr>
            <w:tcW w:type="dxa" w:w="1234"/>
          </w:tcPr>
          <w:p>
            <w:r>
              <w:rPr>
                <w:rFonts w:ascii="Calibri" w:hAnsi="Calibri"/>
                <w:sz w:val="22"/>
              </w:rPr>
              <w:t>$9.17</w:t>
            </w:r>
          </w:p>
        </w:tc>
        <w:tc>
          <w:tcPr>
            <w:tcW w:type="dxa" w:w="1234"/>
          </w:tcPr>
          <w:p>
            <w:r>
              <w:rPr>
                <w:rFonts w:ascii="Calibri" w:hAnsi="Calibri"/>
                <w:sz w:val="22"/>
              </w:rPr>
              <w:t>$9.18</w:t>
            </w:r>
          </w:p>
        </w:tc>
        <w:tc>
          <w:tcPr>
            <w:tcW w:type="dxa" w:w="1234"/>
          </w:tcPr>
          <w:p>
            <w:r>
              <w:rPr>
                <w:rFonts w:ascii="Calibri" w:hAnsi="Calibri"/>
                <w:sz w:val="22"/>
              </w:rPr>
              <w:t>$10.00</w:t>
            </w:r>
          </w:p>
        </w:tc>
        <w:tc>
          <w:tcPr>
            <w:tcW w:type="dxa" w:w="1234"/>
          </w:tcPr>
          <w:p>
            <w:r>
              <w:rPr>
                <w:rFonts w:ascii="Calibri" w:hAnsi="Calibri"/>
                <w:sz w:val="22"/>
              </w:rPr>
              <w:t>+8.9% YoY</w:t>
            </w:r>
          </w:p>
        </w:tc>
        <w:tc>
          <w:tcPr>
            <w:tcW w:type="dxa" w:w="1234"/>
          </w:tcPr>
          <w:p>
            <w:r>
              <w:rPr>
                <w:rFonts w:ascii="Calibri" w:hAnsi="Calibri"/>
                <w:sz w:val="22"/>
              </w:rPr>
              <w:t>No specific EPS guidance</w:t>
            </w:r>
          </w:p>
        </w:tc>
        <w:tc>
          <w:tcPr>
            <w:tcW w:type="dxa" w:w="1234"/>
          </w:tcPr>
          <w:p>
            <w:r>
              <w:rPr>
                <w:rFonts w:ascii="Calibri" w:hAnsi="Calibri"/>
                <w:sz w:val="22"/>
              </w:rPr>
              <w:t>N/A</w:t>
            </w:r>
          </w:p>
        </w:tc>
      </w:tr>
      <w:tr>
        <w:tc>
          <w:tcPr>
            <w:tcW w:type="dxa" w:w="1234"/>
          </w:tcPr>
          <w:p>
            <w:r>
              <w:rPr>
                <w:rFonts w:ascii="Calibri" w:hAnsi="Calibri"/>
                <w:sz w:val="22"/>
              </w:rPr>
              <w:t>Internet Net Adds (K)</w:t>
            </w:r>
          </w:p>
        </w:tc>
        <w:tc>
          <w:tcPr>
            <w:tcW w:type="dxa" w:w="1234"/>
          </w:tcPr>
          <w:p>
            <w:r>
              <w:rPr>
                <w:rFonts w:ascii="Calibri" w:hAnsi="Calibri"/>
                <w:sz w:val="22"/>
              </w:rPr>
              <w:t>-120K</w:t>
            </w:r>
          </w:p>
        </w:tc>
        <w:tc>
          <w:tcPr>
            <w:tcW w:type="dxa" w:w="1234"/>
          </w:tcPr>
          <w:p>
            <w:r>
              <w:rPr>
                <w:rFonts w:ascii="Calibri" w:hAnsi="Calibri"/>
                <w:sz w:val="22"/>
              </w:rPr>
              <w:t>-116K</w:t>
            </w:r>
          </w:p>
        </w:tc>
        <w:tc>
          <w:tcPr>
            <w:tcW w:type="dxa" w:w="1234"/>
          </w:tcPr>
          <w:p>
            <w:r>
              <w:rPr>
                <w:rFonts w:ascii="Calibri" w:hAnsi="Calibri"/>
                <w:sz w:val="22"/>
              </w:rPr>
              <w:t>-141K</w:t>
            </w:r>
          </w:p>
        </w:tc>
        <w:tc>
          <w:tcPr>
            <w:tcW w:type="dxa" w:w="1234"/>
          </w:tcPr>
          <w:p>
            <w:r>
              <w:rPr>
                <w:rFonts w:ascii="Calibri" w:hAnsi="Calibri"/>
                <w:sz w:val="22"/>
              </w:rPr>
              <w:t>Worse YoY</w:t>
            </w:r>
          </w:p>
        </w:tc>
        <w:tc>
          <w:tcPr>
            <w:tcW w:type="dxa" w:w="1234"/>
          </w:tcPr>
          <w:p>
            <w:r>
              <w:rPr>
                <w:rFonts w:ascii="Calibri" w:hAnsi="Calibri"/>
                <w:sz w:val="22"/>
              </w:rPr>
              <w:t>No specific quarterly guidance</w:t>
            </w:r>
          </w:p>
        </w:tc>
        <w:tc>
          <w:tcPr>
            <w:tcW w:type="dxa" w:w="1234"/>
          </w:tcPr>
          <w:p>
            <w:r>
              <w:rPr>
                <w:rFonts w:ascii="Calibri" w:hAnsi="Calibri"/>
                <w:sz w:val="22"/>
              </w:rPr>
              <w:t>N/A</w:t>
            </w:r>
          </w:p>
        </w:tc>
      </w:tr>
      <w:tr>
        <w:tc>
          <w:tcPr>
            <w:tcW w:type="dxa" w:w="1234"/>
          </w:tcPr>
          <w:p>
            <w:r>
              <w:rPr>
                <w:rFonts w:ascii="Calibri" w:hAnsi="Calibri"/>
                <w:sz w:val="22"/>
              </w:rPr>
              <w:t>Mobile Lines Net Adds (K)</w:t>
            </w:r>
          </w:p>
        </w:tc>
        <w:tc>
          <w:tcPr>
            <w:tcW w:type="dxa" w:w="1234"/>
          </w:tcPr>
          <w:p>
            <w:r>
              <w:rPr>
                <w:rFonts w:ascii="Calibri" w:hAnsi="Calibri"/>
                <w:sz w:val="22"/>
              </w:rPr>
              <w:t>+368K</w:t>
            </w:r>
          </w:p>
        </w:tc>
        <w:tc>
          <w:tcPr>
            <w:tcW w:type="dxa" w:w="1234"/>
          </w:tcPr>
          <w:p>
            <w:r>
              <w:rPr>
                <w:rFonts w:ascii="Calibri" w:hAnsi="Calibri"/>
                <w:sz w:val="22"/>
              </w:rPr>
              <w:t>+491K</w:t>
            </w:r>
          </w:p>
        </w:tc>
        <w:tc>
          <w:tcPr>
            <w:tcW w:type="dxa" w:w="1234"/>
          </w:tcPr>
          <w:p>
            <w:r>
              <w:rPr>
                <w:rFonts w:ascii="Calibri" w:hAnsi="Calibri"/>
                <w:sz w:val="22"/>
              </w:rPr>
              <w:t>+383K</w:t>
            </w:r>
          </w:p>
        </w:tc>
        <w:tc>
          <w:tcPr>
            <w:tcW w:type="dxa" w:w="1234"/>
          </w:tcPr>
          <w:p>
            <w:r>
              <w:rPr>
                <w:rFonts w:ascii="Calibri" w:hAnsi="Calibri"/>
                <w:sz w:val="22"/>
              </w:rPr>
              <w:t>-22% YoY</w:t>
            </w:r>
          </w:p>
        </w:tc>
        <w:tc>
          <w:tcPr>
            <w:tcW w:type="dxa" w:w="1234"/>
          </w:tcPr>
          <w:p>
            <w:r>
              <w:rPr>
                <w:rFonts w:ascii="Calibri" w:hAnsi="Calibri"/>
                <w:sz w:val="22"/>
              </w:rPr>
              <w:t>No specific quarterly guidance</w:t>
            </w:r>
          </w:p>
        </w:tc>
        <w:tc>
          <w:tcPr>
            <w:tcW w:type="dxa" w:w="1234"/>
          </w:tcPr>
          <w:p>
            <w:r>
              <w:rPr>
                <w:rFonts w:ascii="Calibri" w:hAnsi="Calibri"/>
                <w:sz w:val="22"/>
              </w:rPr>
              <w:t>N/A</w:t>
            </w:r>
          </w:p>
        </w:tc>
      </w:tr>
      <w:tr>
        <w:tc>
          <w:tcPr>
            <w:tcW w:type="dxa" w:w="1234"/>
          </w:tcPr>
          <w:p>
            <w:r>
              <w:rPr>
                <w:rFonts w:ascii="Calibri" w:hAnsi="Calibri"/>
                <w:sz w:val="22"/>
              </w:rPr>
              <w:t>Residential Internet ARPU ($)</w:t>
            </w:r>
          </w:p>
        </w:tc>
        <w:tc>
          <w:tcPr>
            <w:tcW w:type="dxa" w:w="1234"/>
          </w:tcPr>
          <w:p>
            <w:r>
              <w:rPr>
                <w:rFonts w:ascii="Calibri" w:hAnsi="Calibri"/>
                <w:sz w:val="22"/>
              </w:rPr>
              <w:t>$70.72</w:t>
            </w:r>
          </w:p>
        </w:tc>
        <w:tc>
          <w:tcPr>
            <w:tcW w:type="dxa" w:w="1234"/>
          </w:tcPr>
          <w:p>
            <w:r>
              <w:rPr>
                <w:rFonts w:ascii="Calibri" w:hAnsi="Calibri"/>
                <w:sz w:val="22"/>
              </w:rPr>
              <w:t>$71.25</w:t>
            </w:r>
          </w:p>
        </w:tc>
        <w:tc>
          <w:tcPr>
            <w:tcW w:type="dxa" w:w="1234"/>
          </w:tcPr>
          <w:p>
            <w:r>
              <w:rPr>
                <w:rFonts w:ascii="Calibri" w:hAnsi="Calibri"/>
                <w:sz w:val="22"/>
              </w:rPr>
              <w:t>$70.97</w:t>
            </w:r>
          </w:p>
        </w:tc>
        <w:tc>
          <w:tcPr>
            <w:tcW w:type="dxa" w:w="1234"/>
          </w:tcPr>
          <w:p>
            <w:r>
              <w:rPr>
                <w:rFonts w:ascii="Calibri" w:hAnsi="Calibri"/>
                <w:sz w:val="22"/>
              </w:rPr>
              <w:t>-0.4% YoY</w:t>
            </w:r>
          </w:p>
        </w:tc>
        <w:tc>
          <w:tcPr>
            <w:tcW w:type="dxa" w:w="1234"/>
          </w:tcPr>
          <w:p>
            <w:r>
              <w:rPr>
                <w:rFonts w:ascii="Calibri" w:hAnsi="Calibri"/>
                <w:sz w:val="22"/>
              </w:rPr>
              <w:t>"Close either way" to flat for FY</w:t>
            </w:r>
          </w:p>
        </w:tc>
        <w:tc>
          <w:tcPr>
            <w:tcW w:type="dxa" w:w="1234"/>
          </w:tcPr>
          <w:p>
            <w:r>
              <w:rPr>
                <w:rFonts w:ascii="Calibri" w:hAnsi="Calibri"/>
                <w:sz w:val="22"/>
              </w:rPr>
              <w:t>~Flat vs. guidance</w:t>
            </w:r>
          </w:p>
        </w:tc>
      </w:tr>
      <w:tr>
        <w:tc>
          <w:tcPr>
            <w:tcW w:type="dxa" w:w="1234"/>
          </w:tcPr>
          <w:p>
            <w:r>
              <w:rPr>
                <w:rFonts w:ascii="Calibri" w:hAnsi="Calibri"/>
                <w:sz w:val="22"/>
              </w:rPr>
              <w:t>Free Cash Flow – Company Defined ($B)</w:t>
            </w:r>
          </w:p>
        </w:tc>
        <w:tc>
          <w:tcPr>
            <w:tcW w:type="dxa" w:w="1234"/>
          </w:tcPr>
          <w:p>
            <w:r>
              <w:rPr>
                <w:rFonts w:ascii="Calibri" w:hAnsi="Calibri"/>
                <w:sz w:val="22"/>
              </w:rPr>
              <w:t>$1.372B</w:t>
            </w:r>
          </w:p>
        </w:tc>
        <w:tc>
          <w:tcPr>
            <w:tcW w:type="dxa" w:w="1234"/>
          </w:tcPr>
          <w:p>
            <w:r>
              <w:rPr>
                <w:rFonts w:ascii="Calibri" w:hAnsi="Calibri"/>
                <w:sz w:val="22"/>
              </w:rPr>
              <w:t>$1.046B</w:t>
            </w:r>
          </w:p>
        </w:tc>
        <w:tc>
          <w:tcPr>
            <w:tcW w:type="dxa" w:w="1234"/>
          </w:tcPr>
          <w:p>
            <w:r>
              <w:rPr>
                <w:rFonts w:ascii="Calibri" w:hAnsi="Calibri"/>
                <w:sz w:val="22"/>
              </w:rPr>
              <w:t>$1.072B</w:t>
            </w:r>
          </w:p>
        </w:tc>
        <w:tc>
          <w:tcPr>
            <w:tcW w:type="dxa" w:w="1234"/>
          </w:tcPr>
          <w:p>
            <w:r>
              <w:rPr>
                <w:rFonts w:ascii="Calibri" w:hAnsi="Calibri"/>
                <w:sz w:val="22"/>
              </w:rPr>
              <w:t>+2.5% YoY</w:t>
            </w:r>
          </w:p>
        </w:tc>
        <w:tc>
          <w:tcPr>
            <w:tcW w:type="dxa" w:w="1234"/>
          </w:tcPr>
          <w:p>
            <w:r>
              <w:rPr>
                <w:rFonts w:ascii="Calibri" w:hAnsi="Calibri"/>
                <w:sz w:val="22"/>
              </w:rPr>
              <w:t>No specific quarterly guidance</w:t>
            </w:r>
          </w:p>
        </w:tc>
        <w:tc>
          <w:tcPr>
            <w:tcW w:type="dxa" w:w="1234"/>
          </w:tcPr>
          <w:p>
            <w:r>
              <w:rPr>
                <w:rFonts w:ascii="Calibri" w:hAnsi="Calibri"/>
                <w:sz w:val="22"/>
              </w:rPr>
              <w:t>N/A</w:t>
            </w:r>
          </w:p>
        </w:tc>
      </w:tr>
    </w:tbl>
    <w:p>
      <w:r>
        <w:rPr>
          <w:rFonts w:ascii="Calibri" w:hAnsi="Calibri"/>
          <w:color w:val="525866"/>
          <w:sz w:val="22"/>
        </w:rPr>
        <w:t>Source: Visible Alpha Consensus and Actuals Data. All consensus figures as of July 23, 2026.</w:t>
      </w:r>
    </w:p>
    <w:p>
      <w:pPr>
        <w:pStyle w:val="Heading3"/>
      </w:pPr>
      <w:r>
        <w:rPr>
          <w:rFonts w:ascii="Calibri" w:hAnsi="Calibri"/>
          <w:b/>
          <w:color w:val="3B4259"/>
          <w:sz w:val="24"/>
        </w:rPr>
        <w:t>Table 2 — Beat/Miss History (Last 8 Quarters)</w:t>
      </w:r>
    </w:p>
    <w:p>
      <w:pPr>
        <w:pStyle w:val="Heading4"/>
      </w:pPr>
      <w:r>
        <w:rPr>
          <w:rFonts w:ascii="Calibri" w:hAnsi="Calibri"/>
          <w:b/>
          <w:color w:val="3B4259"/>
          <w:sz w:val="22"/>
        </w:rPr>
        <w:t>Internet Net Adds (K)</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1Q 2026</w:t>
            </w:r>
          </w:p>
        </w:tc>
        <w:tc>
          <w:tcPr>
            <w:tcW w:type="dxa" w:w="1728"/>
          </w:tcPr>
          <w:p>
            <w:r>
              <w:rPr>
                <w:rFonts w:ascii="Calibri" w:hAnsi="Calibri"/>
                <w:sz w:val="22"/>
              </w:rPr>
              <w:t>-120K</w:t>
            </w:r>
          </w:p>
        </w:tc>
        <w:tc>
          <w:tcPr>
            <w:tcW w:type="dxa" w:w="1728"/>
          </w:tcPr>
          <w:p>
            <w:r>
              <w:rPr>
                <w:rFonts w:ascii="Calibri" w:hAnsi="Calibri"/>
                <w:sz w:val="22"/>
              </w:rPr>
              <w:t>-100K</w:t>
            </w:r>
          </w:p>
        </w:tc>
        <w:tc>
          <w:tcPr>
            <w:tcW w:type="dxa" w:w="1728"/>
          </w:tcPr>
          <w:p>
            <w:r>
              <w:rPr>
                <w:rFonts w:ascii="Calibri" w:hAnsi="Calibri"/>
                <w:sz w:val="22"/>
              </w:rPr>
              <w:t>-20K</w:t>
            </w:r>
          </w:p>
        </w:tc>
        <w:tc>
          <w:tcPr>
            <w:tcW w:type="dxa" w:w="1728"/>
          </w:tcPr>
          <w:p>
            <w:r>
              <w:rPr>
                <w:rFonts w:ascii="Calibri" w:hAnsi="Calibri"/>
                <w:b/>
                <w:color w:val="E5484D"/>
                <w:sz w:val="22"/>
              </w:rPr>
              <w:t>Miss</w:t>
            </w:r>
          </w:p>
        </w:tc>
      </w:tr>
      <w:tr>
        <w:tc>
          <w:tcPr>
            <w:tcW w:type="dxa" w:w="1728"/>
          </w:tcPr>
          <w:p>
            <w:r>
              <w:rPr>
                <w:rFonts w:ascii="Calibri" w:hAnsi="Calibri"/>
                <w:sz w:val="22"/>
              </w:rPr>
              <w:t>4Q 2025</w:t>
            </w:r>
          </w:p>
        </w:tc>
        <w:tc>
          <w:tcPr>
            <w:tcW w:type="dxa" w:w="1728"/>
          </w:tcPr>
          <w:p>
            <w:r>
              <w:rPr>
                <w:rFonts w:ascii="Calibri" w:hAnsi="Calibri"/>
                <w:sz w:val="22"/>
              </w:rPr>
              <w:t>-119K</w:t>
            </w:r>
          </w:p>
        </w:tc>
        <w:tc>
          <w:tcPr>
            <w:tcW w:type="dxa" w:w="1728"/>
          </w:tcPr>
          <w:p>
            <w:r>
              <w:rPr>
                <w:rFonts w:ascii="Calibri" w:hAnsi="Calibri"/>
                <w:sz w:val="22"/>
              </w:rPr>
              <w:t>-130K</w:t>
            </w:r>
          </w:p>
        </w:tc>
        <w:tc>
          <w:tcPr>
            <w:tcW w:type="dxa" w:w="1728"/>
          </w:tcPr>
          <w:p>
            <w:r>
              <w:rPr>
                <w:rFonts w:ascii="Calibri" w:hAnsi="Calibri"/>
                <w:sz w:val="22"/>
              </w:rPr>
              <w:t>+11K</w:t>
            </w:r>
          </w:p>
        </w:tc>
        <w:tc>
          <w:tcPr>
            <w:tcW w:type="dxa" w:w="1728"/>
          </w:tcPr>
          <w:p>
            <w:r>
              <w:rPr>
                <w:rFonts w:ascii="Calibri" w:hAnsi="Calibri"/>
                <w:b/>
                <w:color w:val="30A46C"/>
                <w:sz w:val="22"/>
              </w:rPr>
              <w:t>Beat</w:t>
            </w:r>
          </w:p>
        </w:tc>
      </w:tr>
      <w:tr>
        <w:tc>
          <w:tcPr>
            <w:tcW w:type="dxa" w:w="1728"/>
          </w:tcPr>
          <w:p>
            <w:r>
              <w:rPr>
                <w:rFonts w:ascii="Calibri" w:hAnsi="Calibri"/>
                <w:sz w:val="22"/>
              </w:rPr>
              <w:t>3Q 2025</w:t>
            </w:r>
          </w:p>
        </w:tc>
        <w:tc>
          <w:tcPr>
            <w:tcW w:type="dxa" w:w="1728"/>
          </w:tcPr>
          <w:p>
            <w:r>
              <w:rPr>
                <w:rFonts w:ascii="Calibri" w:hAnsi="Calibri"/>
                <w:sz w:val="22"/>
              </w:rPr>
              <w:t>-109K</w:t>
            </w:r>
          </w:p>
        </w:tc>
        <w:tc>
          <w:tcPr>
            <w:tcW w:type="dxa" w:w="1728"/>
          </w:tcPr>
          <w:p>
            <w:r>
              <w:rPr>
                <w:rFonts w:ascii="Calibri" w:hAnsi="Calibri"/>
                <w:sz w:val="22"/>
              </w:rPr>
              <w:t>-83K</w:t>
            </w:r>
          </w:p>
        </w:tc>
        <w:tc>
          <w:tcPr>
            <w:tcW w:type="dxa" w:w="1728"/>
          </w:tcPr>
          <w:p>
            <w:r>
              <w:rPr>
                <w:rFonts w:ascii="Calibri" w:hAnsi="Calibri"/>
                <w:sz w:val="22"/>
              </w:rPr>
              <w:t>-26K</w:t>
            </w:r>
          </w:p>
        </w:tc>
        <w:tc>
          <w:tcPr>
            <w:tcW w:type="dxa" w:w="1728"/>
          </w:tcPr>
          <w:p>
            <w:r>
              <w:rPr>
                <w:rFonts w:ascii="Calibri" w:hAnsi="Calibri"/>
                <w:b/>
                <w:color w:val="E5484D"/>
                <w:sz w:val="22"/>
              </w:rPr>
              <w:t>Miss</w:t>
            </w:r>
          </w:p>
        </w:tc>
      </w:tr>
      <w:tr>
        <w:tc>
          <w:tcPr>
            <w:tcW w:type="dxa" w:w="1728"/>
          </w:tcPr>
          <w:p>
            <w:r>
              <w:rPr>
                <w:rFonts w:ascii="Calibri" w:hAnsi="Calibri"/>
                <w:sz w:val="22"/>
              </w:rPr>
              <w:t>2Q 2025</w:t>
            </w:r>
          </w:p>
        </w:tc>
        <w:tc>
          <w:tcPr>
            <w:tcW w:type="dxa" w:w="1728"/>
          </w:tcPr>
          <w:p>
            <w:r>
              <w:rPr>
                <w:rFonts w:ascii="Calibri" w:hAnsi="Calibri"/>
                <w:sz w:val="22"/>
              </w:rPr>
              <w:t>-116K</w:t>
            </w:r>
          </w:p>
        </w:tc>
        <w:tc>
          <w:tcPr>
            <w:tcW w:type="dxa" w:w="1728"/>
          </w:tcPr>
          <w:p>
            <w:r>
              <w:rPr>
                <w:rFonts w:ascii="Calibri" w:hAnsi="Calibri"/>
                <w:sz w:val="22"/>
              </w:rPr>
              <w:t>-73K</w:t>
            </w:r>
          </w:p>
        </w:tc>
        <w:tc>
          <w:tcPr>
            <w:tcW w:type="dxa" w:w="1728"/>
          </w:tcPr>
          <w:p>
            <w:r>
              <w:rPr>
                <w:rFonts w:ascii="Calibri" w:hAnsi="Calibri"/>
                <w:sz w:val="22"/>
              </w:rPr>
              <w:t>-43K</w:t>
            </w:r>
          </w:p>
        </w:tc>
        <w:tc>
          <w:tcPr>
            <w:tcW w:type="dxa" w:w="1728"/>
          </w:tcPr>
          <w:p>
            <w:r>
              <w:rPr>
                <w:rFonts w:ascii="Calibri" w:hAnsi="Calibri"/>
                <w:b/>
                <w:color w:val="E5484D"/>
                <w:sz w:val="22"/>
              </w:rPr>
              <w:t>Miss</w:t>
            </w:r>
          </w:p>
        </w:tc>
      </w:tr>
      <w:tr>
        <w:tc>
          <w:tcPr>
            <w:tcW w:type="dxa" w:w="1728"/>
          </w:tcPr>
          <w:p>
            <w:r>
              <w:rPr>
                <w:rFonts w:ascii="Calibri" w:hAnsi="Calibri"/>
                <w:sz w:val="22"/>
              </w:rPr>
              <w:t>1Q 2025</w:t>
            </w:r>
          </w:p>
        </w:tc>
        <w:tc>
          <w:tcPr>
            <w:tcW w:type="dxa" w:w="1728"/>
          </w:tcPr>
          <w:p>
            <w:r>
              <w:rPr>
                <w:rFonts w:ascii="Calibri" w:hAnsi="Calibri"/>
                <w:sz w:val="22"/>
              </w:rPr>
              <w:t>-59K</w:t>
            </w:r>
          </w:p>
        </w:tc>
        <w:tc>
          <w:tcPr>
            <w:tcW w:type="dxa" w:w="1728"/>
          </w:tcPr>
          <w:p>
            <w:r>
              <w:rPr>
                <w:rFonts w:ascii="Calibri" w:hAnsi="Calibri"/>
                <w:sz w:val="22"/>
              </w:rPr>
              <w:t>-45K</w:t>
            </w:r>
          </w:p>
        </w:tc>
        <w:tc>
          <w:tcPr>
            <w:tcW w:type="dxa" w:w="1728"/>
          </w:tcPr>
          <w:p>
            <w:r>
              <w:rPr>
                <w:rFonts w:ascii="Calibri" w:hAnsi="Calibri"/>
                <w:sz w:val="22"/>
              </w:rPr>
              <w:t>-14K</w:t>
            </w:r>
          </w:p>
        </w:tc>
        <w:tc>
          <w:tcPr>
            <w:tcW w:type="dxa" w:w="1728"/>
          </w:tcPr>
          <w:p>
            <w:r>
              <w:rPr>
                <w:rFonts w:ascii="Calibri" w:hAnsi="Calibri"/>
                <w:b/>
                <w:color w:val="E5484D"/>
                <w:sz w:val="22"/>
              </w:rPr>
              <w:t>Miss</w:t>
            </w:r>
          </w:p>
        </w:tc>
      </w:tr>
      <w:tr>
        <w:tc>
          <w:tcPr>
            <w:tcW w:type="dxa" w:w="1728"/>
          </w:tcPr>
          <w:p>
            <w:r>
              <w:rPr>
                <w:rFonts w:ascii="Calibri" w:hAnsi="Calibri"/>
                <w:sz w:val="22"/>
              </w:rPr>
              <w:t>4Q 2024</w:t>
            </w:r>
          </w:p>
        </w:tc>
        <w:tc>
          <w:tcPr>
            <w:tcW w:type="dxa" w:w="1728"/>
          </w:tcPr>
          <w:p>
            <w:r>
              <w:rPr>
                <w:rFonts w:ascii="Calibri" w:hAnsi="Calibri"/>
                <w:sz w:val="22"/>
              </w:rPr>
              <w:t>-177K</w:t>
            </w:r>
          </w:p>
        </w:tc>
        <w:tc>
          <w:tcPr>
            <w:tcW w:type="dxa" w:w="1728"/>
          </w:tcPr>
          <w:p>
            <w:r>
              <w:rPr>
                <w:rFonts w:ascii="Calibri" w:hAnsi="Calibri"/>
                <w:sz w:val="22"/>
              </w:rPr>
              <w:t>-157K</w:t>
            </w:r>
          </w:p>
        </w:tc>
        <w:tc>
          <w:tcPr>
            <w:tcW w:type="dxa" w:w="1728"/>
          </w:tcPr>
          <w:p>
            <w:r>
              <w:rPr>
                <w:rFonts w:ascii="Calibri" w:hAnsi="Calibri"/>
                <w:sz w:val="22"/>
              </w:rPr>
              <w:t>-20K</w:t>
            </w:r>
          </w:p>
        </w:tc>
        <w:tc>
          <w:tcPr>
            <w:tcW w:type="dxa" w:w="1728"/>
          </w:tcPr>
          <w:p>
            <w:r>
              <w:rPr>
                <w:rFonts w:ascii="Calibri" w:hAnsi="Calibri"/>
                <w:b/>
                <w:color w:val="E5484D"/>
                <w:sz w:val="22"/>
              </w:rPr>
              <w:t>Miss</w:t>
            </w:r>
          </w:p>
        </w:tc>
      </w:tr>
      <w:tr>
        <w:tc>
          <w:tcPr>
            <w:tcW w:type="dxa" w:w="1728"/>
          </w:tcPr>
          <w:p>
            <w:r>
              <w:rPr>
                <w:rFonts w:ascii="Calibri" w:hAnsi="Calibri"/>
                <w:sz w:val="22"/>
              </w:rPr>
              <w:t>3Q 2024</w:t>
            </w:r>
          </w:p>
        </w:tc>
        <w:tc>
          <w:tcPr>
            <w:tcW w:type="dxa" w:w="1728"/>
          </w:tcPr>
          <w:p>
            <w:r>
              <w:rPr>
                <w:rFonts w:ascii="Calibri" w:hAnsi="Calibri"/>
                <w:sz w:val="22"/>
              </w:rPr>
              <w:t>-110K</w:t>
            </w:r>
          </w:p>
        </w:tc>
        <w:tc>
          <w:tcPr>
            <w:tcW w:type="dxa" w:w="1728"/>
          </w:tcPr>
          <w:p>
            <w:r>
              <w:rPr>
                <w:rFonts w:ascii="Calibri" w:hAnsi="Calibri"/>
                <w:sz w:val="22"/>
              </w:rPr>
              <w:t>-267K</w:t>
            </w:r>
          </w:p>
        </w:tc>
        <w:tc>
          <w:tcPr>
            <w:tcW w:type="dxa" w:w="1728"/>
          </w:tcPr>
          <w:p>
            <w:r>
              <w:rPr>
                <w:rFonts w:ascii="Calibri" w:hAnsi="Calibri"/>
                <w:sz w:val="22"/>
              </w:rPr>
              <w:t>+157K</w:t>
            </w:r>
          </w:p>
        </w:tc>
        <w:tc>
          <w:tcPr>
            <w:tcW w:type="dxa" w:w="1728"/>
          </w:tcPr>
          <w:p>
            <w:r>
              <w:rPr>
                <w:rFonts w:ascii="Calibri" w:hAnsi="Calibri"/>
                <w:b/>
                <w:color w:val="30A46C"/>
                <w:sz w:val="22"/>
              </w:rPr>
              <w:t>Beat</w:t>
            </w:r>
          </w:p>
        </w:tc>
      </w:tr>
      <w:tr>
        <w:tc>
          <w:tcPr>
            <w:tcW w:type="dxa" w:w="1728"/>
          </w:tcPr>
          <w:p>
            <w:r>
              <w:rPr>
                <w:rFonts w:ascii="Calibri" w:hAnsi="Calibri"/>
                <w:sz w:val="22"/>
              </w:rPr>
              <w:t>2Q 2024</w:t>
            </w:r>
          </w:p>
        </w:tc>
        <w:tc>
          <w:tcPr>
            <w:tcW w:type="dxa" w:w="1728"/>
          </w:tcPr>
          <w:p>
            <w:r>
              <w:rPr>
                <w:rFonts w:ascii="Calibri" w:hAnsi="Calibri"/>
                <w:sz w:val="22"/>
              </w:rPr>
              <w:t>N/A – not in VA</w:t>
            </w:r>
          </w:p>
        </w:tc>
        <w:tc>
          <w:tcPr>
            <w:tcW w:type="dxa" w:w="1728"/>
          </w:tcPr>
          <w:p>
            <w:r>
              <w:rPr>
                <w:rFonts w:ascii="Calibri" w:hAnsi="Calibri"/>
                <w:sz w:val="22"/>
              </w:rPr>
              <w:t>N/A – not in VA</w:t>
            </w:r>
          </w:p>
        </w:tc>
        <w:tc>
          <w:tcPr>
            <w:tcW w:type="dxa" w:w="1728"/>
          </w:tcPr>
          <w:p>
            <w:r>
              <w:rPr>
                <w:rFonts w:ascii="Calibri" w:hAnsi="Calibri"/>
                <w:sz w:val="22"/>
              </w:rPr>
              <w:t>N/A</w:t>
            </w:r>
          </w:p>
        </w:tc>
        <w:tc>
          <w:tcPr>
            <w:tcW w:type="dxa" w:w="1728"/>
          </w:tcPr>
          <w:p>
            <w:r>
              <w:rPr>
                <w:rFonts w:ascii="Calibri" w:hAnsi="Calibri"/>
                <w:sz w:val="22"/>
              </w:rPr>
              <w:t>N/A</w:t>
            </w:r>
          </w:p>
        </w:tc>
      </w:tr>
    </w:tbl>
    <w:p>
      <w:pPr>
        <w:pStyle w:val="Heading4"/>
      </w:pPr>
      <w:r>
        <w:rPr>
          <w:rFonts w:ascii="Calibri" w:hAnsi="Calibri"/>
          <w:b/>
          <w:color w:val="3B4259"/>
          <w:sz w:val="22"/>
        </w:rPr>
        <w:t>Mobile Lines Net Adds (K)</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1Q 2026</w:t>
            </w:r>
          </w:p>
        </w:tc>
        <w:tc>
          <w:tcPr>
            <w:tcW w:type="dxa" w:w="1728"/>
          </w:tcPr>
          <w:p>
            <w:r>
              <w:rPr>
                <w:rFonts w:ascii="Calibri" w:hAnsi="Calibri"/>
                <w:sz w:val="22"/>
              </w:rPr>
              <w:t>+368K</w:t>
            </w:r>
          </w:p>
        </w:tc>
        <w:tc>
          <w:tcPr>
            <w:tcW w:type="dxa" w:w="1728"/>
          </w:tcPr>
          <w:p>
            <w:r>
              <w:rPr>
                <w:rFonts w:ascii="Calibri" w:hAnsi="Calibri"/>
                <w:sz w:val="22"/>
              </w:rPr>
              <w:t>+432K</w:t>
            </w:r>
          </w:p>
        </w:tc>
        <w:tc>
          <w:tcPr>
            <w:tcW w:type="dxa" w:w="1728"/>
          </w:tcPr>
          <w:p>
            <w:r>
              <w:rPr>
                <w:rFonts w:ascii="Calibri" w:hAnsi="Calibri"/>
                <w:sz w:val="22"/>
              </w:rPr>
              <w:t>-64K</w:t>
            </w:r>
          </w:p>
        </w:tc>
        <w:tc>
          <w:tcPr>
            <w:tcW w:type="dxa" w:w="1728"/>
          </w:tcPr>
          <w:p>
            <w:r>
              <w:rPr>
                <w:rFonts w:ascii="Calibri" w:hAnsi="Calibri"/>
                <w:b/>
                <w:color w:val="E5484D"/>
                <w:sz w:val="22"/>
              </w:rPr>
              <w:t>Miss</w:t>
            </w:r>
          </w:p>
        </w:tc>
      </w:tr>
      <w:tr>
        <w:tc>
          <w:tcPr>
            <w:tcW w:type="dxa" w:w="1728"/>
          </w:tcPr>
          <w:p>
            <w:r>
              <w:rPr>
                <w:rFonts w:ascii="Calibri" w:hAnsi="Calibri"/>
                <w:sz w:val="22"/>
              </w:rPr>
              <w:t>4Q 2025</w:t>
            </w:r>
          </w:p>
        </w:tc>
        <w:tc>
          <w:tcPr>
            <w:tcW w:type="dxa" w:w="1728"/>
          </w:tcPr>
          <w:p>
            <w:r>
              <w:rPr>
                <w:rFonts w:ascii="Calibri" w:hAnsi="Calibri"/>
                <w:sz w:val="22"/>
              </w:rPr>
              <w:t>+428K</w:t>
            </w:r>
          </w:p>
        </w:tc>
        <w:tc>
          <w:tcPr>
            <w:tcW w:type="dxa" w:w="1728"/>
          </w:tcPr>
          <w:p>
            <w:r>
              <w:rPr>
                <w:rFonts w:ascii="Calibri" w:hAnsi="Calibri"/>
                <w:sz w:val="22"/>
              </w:rPr>
              <w:t>+482K</w:t>
            </w:r>
          </w:p>
        </w:tc>
        <w:tc>
          <w:tcPr>
            <w:tcW w:type="dxa" w:w="1728"/>
          </w:tcPr>
          <w:p>
            <w:r>
              <w:rPr>
                <w:rFonts w:ascii="Calibri" w:hAnsi="Calibri"/>
                <w:sz w:val="22"/>
              </w:rPr>
              <w:t>-54K</w:t>
            </w:r>
          </w:p>
        </w:tc>
        <w:tc>
          <w:tcPr>
            <w:tcW w:type="dxa" w:w="1728"/>
          </w:tcPr>
          <w:p>
            <w:r>
              <w:rPr>
                <w:rFonts w:ascii="Calibri" w:hAnsi="Calibri"/>
                <w:b/>
                <w:color w:val="E5484D"/>
                <w:sz w:val="22"/>
              </w:rPr>
              <w:t>Miss</w:t>
            </w:r>
          </w:p>
        </w:tc>
      </w:tr>
      <w:tr>
        <w:tc>
          <w:tcPr>
            <w:tcW w:type="dxa" w:w="1728"/>
          </w:tcPr>
          <w:p>
            <w:r>
              <w:rPr>
                <w:rFonts w:ascii="Calibri" w:hAnsi="Calibri"/>
                <w:sz w:val="22"/>
              </w:rPr>
              <w:t>3Q 2025</w:t>
            </w:r>
          </w:p>
        </w:tc>
        <w:tc>
          <w:tcPr>
            <w:tcW w:type="dxa" w:w="1728"/>
          </w:tcPr>
          <w:p>
            <w:r>
              <w:rPr>
                <w:rFonts w:ascii="Calibri" w:hAnsi="Calibri"/>
                <w:sz w:val="22"/>
              </w:rPr>
              <w:t>+482K</w:t>
            </w:r>
          </w:p>
        </w:tc>
        <w:tc>
          <w:tcPr>
            <w:tcW w:type="dxa" w:w="1728"/>
          </w:tcPr>
          <w:p>
            <w:r>
              <w:rPr>
                <w:rFonts w:ascii="Calibri" w:hAnsi="Calibri"/>
                <w:sz w:val="22"/>
              </w:rPr>
              <w:t>+502K</w:t>
            </w:r>
          </w:p>
        </w:tc>
        <w:tc>
          <w:tcPr>
            <w:tcW w:type="dxa" w:w="1728"/>
          </w:tcPr>
          <w:p>
            <w:r>
              <w:rPr>
                <w:rFonts w:ascii="Calibri" w:hAnsi="Calibri"/>
                <w:sz w:val="22"/>
              </w:rPr>
              <w:t>-20K</w:t>
            </w:r>
          </w:p>
        </w:tc>
        <w:tc>
          <w:tcPr>
            <w:tcW w:type="dxa" w:w="1728"/>
          </w:tcPr>
          <w:p>
            <w:r>
              <w:rPr>
                <w:rFonts w:ascii="Calibri" w:hAnsi="Calibri"/>
                <w:b/>
                <w:color w:val="E5484D"/>
                <w:sz w:val="22"/>
              </w:rPr>
              <w:t>Miss</w:t>
            </w:r>
          </w:p>
        </w:tc>
      </w:tr>
      <w:tr>
        <w:tc>
          <w:tcPr>
            <w:tcW w:type="dxa" w:w="1728"/>
          </w:tcPr>
          <w:p>
            <w:r>
              <w:rPr>
                <w:rFonts w:ascii="Calibri" w:hAnsi="Calibri"/>
                <w:sz w:val="22"/>
              </w:rPr>
              <w:t>2Q 2025</w:t>
            </w:r>
          </w:p>
        </w:tc>
        <w:tc>
          <w:tcPr>
            <w:tcW w:type="dxa" w:w="1728"/>
          </w:tcPr>
          <w:p>
            <w:r>
              <w:rPr>
                <w:rFonts w:ascii="Calibri" w:hAnsi="Calibri"/>
                <w:sz w:val="22"/>
              </w:rPr>
              <w:t>+491K</w:t>
            </w:r>
          </w:p>
        </w:tc>
        <w:tc>
          <w:tcPr>
            <w:tcW w:type="dxa" w:w="1728"/>
          </w:tcPr>
          <w:p>
            <w:r>
              <w:rPr>
                <w:rFonts w:ascii="Calibri" w:hAnsi="Calibri"/>
                <w:sz w:val="22"/>
              </w:rPr>
              <w:t>+538K</w:t>
            </w:r>
          </w:p>
        </w:tc>
        <w:tc>
          <w:tcPr>
            <w:tcW w:type="dxa" w:w="1728"/>
          </w:tcPr>
          <w:p>
            <w:r>
              <w:rPr>
                <w:rFonts w:ascii="Calibri" w:hAnsi="Calibri"/>
                <w:sz w:val="22"/>
              </w:rPr>
              <w:t>-47K</w:t>
            </w:r>
          </w:p>
        </w:tc>
        <w:tc>
          <w:tcPr>
            <w:tcW w:type="dxa" w:w="1728"/>
          </w:tcPr>
          <w:p>
            <w:r>
              <w:rPr>
                <w:rFonts w:ascii="Calibri" w:hAnsi="Calibri"/>
                <w:b/>
                <w:color w:val="E5484D"/>
                <w:sz w:val="22"/>
              </w:rPr>
              <w:t>Miss</w:t>
            </w:r>
          </w:p>
        </w:tc>
      </w:tr>
      <w:tr>
        <w:tc>
          <w:tcPr>
            <w:tcW w:type="dxa" w:w="1728"/>
          </w:tcPr>
          <w:p>
            <w:r>
              <w:rPr>
                <w:rFonts w:ascii="Calibri" w:hAnsi="Calibri"/>
                <w:sz w:val="22"/>
              </w:rPr>
              <w:t>1Q 2025</w:t>
            </w:r>
          </w:p>
        </w:tc>
        <w:tc>
          <w:tcPr>
            <w:tcW w:type="dxa" w:w="1728"/>
          </w:tcPr>
          <w:p>
            <w:r>
              <w:rPr>
                <w:rFonts w:ascii="Calibri" w:hAnsi="Calibri"/>
                <w:sz w:val="22"/>
              </w:rPr>
              <w:t>+507K</w:t>
            </w:r>
          </w:p>
        </w:tc>
        <w:tc>
          <w:tcPr>
            <w:tcW w:type="dxa" w:w="1728"/>
          </w:tcPr>
          <w:p>
            <w:r>
              <w:rPr>
                <w:rFonts w:ascii="Calibri" w:hAnsi="Calibri"/>
                <w:sz w:val="22"/>
              </w:rPr>
              <w:t>+477K</w:t>
            </w:r>
          </w:p>
        </w:tc>
        <w:tc>
          <w:tcPr>
            <w:tcW w:type="dxa" w:w="1728"/>
          </w:tcPr>
          <w:p>
            <w:r>
              <w:rPr>
                <w:rFonts w:ascii="Calibri" w:hAnsi="Calibri"/>
                <w:sz w:val="22"/>
              </w:rPr>
              <w:t>+30K</w:t>
            </w:r>
          </w:p>
        </w:tc>
        <w:tc>
          <w:tcPr>
            <w:tcW w:type="dxa" w:w="1728"/>
          </w:tcPr>
          <w:p>
            <w:r>
              <w:rPr>
                <w:rFonts w:ascii="Calibri" w:hAnsi="Calibri"/>
                <w:b/>
                <w:color w:val="30A46C"/>
                <w:sz w:val="22"/>
              </w:rPr>
              <w:t>Beat</w:t>
            </w:r>
          </w:p>
        </w:tc>
      </w:tr>
      <w:tr>
        <w:tc>
          <w:tcPr>
            <w:tcW w:type="dxa" w:w="1728"/>
          </w:tcPr>
          <w:p>
            <w:r>
              <w:rPr>
                <w:rFonts w:ascii="Calibri" w:hAnsi="Calibri"/>
                <w:sz w:val="22"/>
              </w:rPr>
              <w:t>4Q 2024</w:t>
            </w:r>
          </w:p>
        </w:tc>
        <w:tc>
          <w:tcPr>
            <w:tcW w:type="dxa" w:w="1728"/>
          </w:tcPr>
          <w:p>
            <w:r>
              <w:rPr>
                <w:rFonts w:ascii="Calibri" w:hAnsi="Calibri"/>
                <w:sz w:val="22"/>
              </w:rPr>
              <w:t>+522K</w:t>
            </w:r>
          </w:p>
        </w:tc>
        <w:tc>
          <w:tcPr>
            <w:tcW w:type="dxa" w:w="1728"/>
          </w:tcPr>
          <w:p>
            <w:r>
              <w:rPr>
                <w:rFonts w:ascii="Calibri" w:hAnsi="Calibri"/>
                <w:sz w:val="22"/>
              </w:rPr>
              <w:t>+520K</w:t>
            </w:r>
          </w:p>
        </w:tc>
        <w:tc>
          <w:tcPr>
            <w:tcW w:type="dxa" w:w="1728"/>
          </w:tcPr>
          <w:p>
            <w:r>
              <w:rPr>
                <w:rFonts w:ascii="Calibri" w:hAnsi="Calibri"/>
                <w:sz w:val="22"/>
              </w:rPr>
              <w:t>+2K</w:t>
            </w:r>
          </w:p>
        </w:tc>
        <w:tc>
          <w:tcPr>
            <w:tcW w:type="dxa" w:w="1728"/>
          </w:tcPr>
          <w:p>
            <w:r>
              <w:rPr>
                <w:rFonts w:ascii="Calibri" w:hAnsi="Calibri"/>
                <w:b/>
                <w:color w:val="30A46C"/>
                <w:sz w:val="22"/>
              </w:rPr>
              <w:t>Beat</w:t>
            </w:r>
          </w:p>
        </w:tc>
      </w:tr>
      <w:tr>
        <w:tc>
          <w:tcPr>
            <w:tcW w:type="dxa" w:w="1728"/>
          </w:tcPr>
          <w:p>
            <w:r>
              <w:rPr>
                <w:rFonts w:ascii="Calibri" w:hAnsi="Calibri"/>
                <w:sz w:val="22"/>
              </w:rPr>
              <w:t>3Q 2024</w:t>
            </w:r>
          </w:p>
        </w:tc>
        <w:tc>
          <w:tcPr>
            <w:tcW w:type="dxa" w:w="1728"/>
          </w:tcPr>
          <w:p>
            <w:r>
              <w:rPr>
                <w:rFonts w:ascii="Calibri" w:hAnsi="Calibri"/>
                <w:sz w:val="22"/>
              </w:rPr>
              <w:t>+540K</w:t>
            </w:r>
          </w:p>
        </w:tc>
        <w:tc>
          <w:tcPr>
            <w:tcW w:type="dxa" w:w="1728"/>
          </w:tcPr>
          <w:p>
            <w:r>
              <w:rPr>
                <w:rFonts w:ascii="Calibri" w:hAnsi="Calibri"/>
                <w:sz w:val="22"/>
              </w:rPr>
              <w:t>+545K</w:t>
            </w:r>
          </w:p>
        </w:tc>
        <w:tc>
          <w:tcPr>
            <w:tcW w:type="dxa" w:w="1728"/>
          </w:tcPr>
          <w:p>
            <w:r>
              <w:rPr>
                <w:rFonts w:ascii="Calibri" w:hAnsi="Calibri"/>
                <w:sz w:val="22"/>
              </w:rPr>
              <w:t>-5K</w:t>
            </w:r>
          </w:p>
        </w:tc>
        <w:tc>
          <w:tcPr>
            <w:tcW w:type="dxa" w:w="1728"/>
          </w:tcPr>
          <w:p>
            <w:r>
              <w:rPr>
                <w:rFonts w:ascii="Calibri" w:hAnsi="Calibri"/>
                <w:b/>
                <w:color w:val="E5484D"/>
                <w:sz w:val="22"/>
              </w:rPr>
              <w:t>Slight Miss</w:t>
            </w:r>
          </w:p>
        </w:tc>
      </w:tr>
      <w:tr>
        <w:tc>
          <w:tcPr>
            <w:tcW w:type="dxa" w:w="1728"/>
          </w:tcPr>
          <w:p>
            <w:r>
              <w:rPr>
                <w:rFonts w:ascii="Calibri" w:hAnsi="Calibri"/>
                <w:sz w:val="22"/>
              </w:rPr>
              <w:t>2Q 2024</w:t>
            </w:r>
          </w:p>
        </w:tc>
        <w:tc>
          <w:tcPr>
            <w:tcW w:type="dxa" w:w="1728"/>
          </w:tcPr>
          <w:p>
            <w:r>
              <w:rPr>
                <w:rFonts w:ascii="Calibri" w:hAnsi="Calibri"/>
                <w:sz w:val="22"/>
              </w:rPr>
              <w:t>N/A – not in VA</w:t>
            </w:r>
          </w:p>
        </w:tc>
        <w:tc>
          <w:tcPr>
            <w:tcW w:type="dxa" w:w="1728"/>
          </w:tcPr>
          <w:p>
            <w:r>
              <w:rPr>
                <w:rFonts w:ascii="Calibri" w:hAnsi="Calibri"/>
                <w:sz w:val="22"/>
              </w:rPr>
              <w:t>N/A – not in VA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b/>
          <w:color w:val="525866"/>
          <w:sz w:val="22"/>
        </w:rPr>
        <w:t xml:space="preserve">Pattern: </w:t>
      </w:r>
      <w:r>
        <w:rPr>
          <w:rFonts w:ascii="Calibri" w:hAnsi="Calibri"/>
          <w:color w:val="525866"/>
          <w:sz w:val="22"/>
        </w:rPr>
        <w:t>Internet net adds have missed consensus in 5 of the last 7 reported quarters, reflecting persistent competitive pressure from fiber overbuilds and fixed wireless; mobile net adds have missed in 4 of the last 5 quarters as telco device subsidy activity has elevated churn.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b/>
          <w:color w:val="525866"/>
          <w:sz w:val="22"/>
        </w:rPr>
        <w:t xml:space="preserve">The only formal guidance change since Q1 earnings was the Cox synergy upgrade to at least $800M (from $500M). The more significant shift has been in </w:t>
      </w:r>
      <w:r>
        <w:rPr>
          <w:rFonts w:ascii="Calibri" w:hAnsi="Calibri"/>
          <w:color w:val="525866"/>
          <w:sz w:val="22"/>
        </w:rPr>
        <w:t>tone and framing</w:t>
      </w:r>
      <w:r>
        <w:rPr>
          <w:rFonts w:ascii="Calibri" w:hAnsi="Calibri"/>
          <w:b/>
          <w:color w:val="525866"/>
          <w:sz w:val="22"/>
        </w:rPr>
        <w:t xml:space="preserve"> — management has explicitly pivoted to converged ARPU as the preferred investor metric and signaled that cost pass-throughs deferred from Q1 will be implemented in summer 2026 alongside value enhancements.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24)</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EBITDA</w:t>
            </w:r>
          </w:p>
        </w:tc>
        <w:tc>
          <w:tcPr>
            <w:tcW w:type="dxa" w:w="1728"/>
          </w:tcPr>
          <w:p>
            <w:r>
              <w:rPr>
                <w:rFonts w:ascii="Calibri" w:hAnsi="Calibri"/>
                <w:sz w:val="22"/>
              </w:rPr>
              <w:t>Slight growth YoY, excluding Cox transition costs; political advertising tailwind</w:t>
            </w:r>
          </w:p>
        </w:tc>
        <w:tc>
          <w:tcPr>
            <w:tcW w:type="dxa" w:w="1728"/>
          </w:tcPr>
          <w:p>
            <w:r>
              <w:rPr>
                <w:rFonts w:ascii="Calibri" w:hAnsi="Calibri"/>
                <w:sz w:val="22"/>
              </w:rPr>
              <w:t>—</w:t>
            </w:r>
          </w:p>
        </w:tc>
        <w:tc>
          <w:tcPr>
            <w:tcW w:type="dxa" w:w="1728"/>
          </w:tcPr>
          <w:p>
            <w:r>
              <w:rPr>
                <w:rFonts w:ascii="Calibri" w:hAnsi="Calibri"/>
                <w:sz w:val="22"/>
              </w:rPr>
              <w:t>$22.51B</w:t>
            </w:r>
          </w:p>
        </w:tc>
        <w:tc>
          <w:tcPr>
            <w:tcW w:type="dxa" w:w="1728"/>
          </w:tcPr>
          <w:p>
            <w:r>
              <w:rPr>
                <w:rFonts w:ascii="Calibri" w:hAnsi="Calibri"/>
                <w:sz w:val="22"/>
              </w:rPr>
              <w:t>Unchanged; CFO reiterated at JP Morgan conference (May 20)</w:t>
            </w:r>
          </w:p>
        </w:tc>
      </w:tr>
      <w:tr>
        <w:tc>
          <w:tcPr>
            <w:tcW w:type="dxa" w:w="1728"/>
          </w:tcPr>
          <w:p>
            <w:r>
              <w:rPr>
                <w:rFonts w:ascii="Calibri" w:hAnsi="Calibri"/>
                <w:sz w:val="22"/>
              </w:rPr>
              <w:t>FY 2026 CapEx</w:t>
            </w:r>
          </w:p>
        </w:tc>
        <w:tc>
          <w:tcPr>
            <w:tcW w:type="dxa" w:w="1728"/>
          </w:tcPr>
          <w:p>
            <w:r>
              <w:rPr>
                <w:rFonts w:ascii="Calibri" w:hAnsi="Calibri"/>
                <w:sz w:val="22"/>
              </w:rPr>
              <w:t>~$11.4B total; run-rate below $8B by 2028</w:t>
            </w:r>
          </w:p>
        </w:tc>
        <w:tc>
          <w:tcPr>
            <w:tcW w:type="dxa" w:w="1728"/>
          </w:tcPr>
          <w:p>
            <w:r>
              <w:rPr>
                <w:rFonts w:ascii="Calibri" w:hAnsi="Calibri"/>
                <w:sz w:val="22"/>
              </w:rPr>
              <w:t>—</w:t>
            </w:r>
          </w:p>
        </w:tc>
        <w:tc>
          <w:tcPr>
            <w:tcW w:type="dxa" w:w="1728"/>
          </w:tcPr>
          <w:p>
            <w:r>
              <w:rPr>
                <w:rFonts w:ascii="Calibri" w:hAnsi="Calibri"/>
                <w:sz w:val="22"/>
              </w:rPr>
              <w:t>N/A – not tracked in VA</w:t>
            </w:r>
          </w:p>
        </w:tc>
        <w:tc>
          <w:tcPr>
            <w:tcW w:type="dxa" w:w="1728"/>
          </w:tcPr>
          <w:p>
            <w:r>
              <w:rPr>
                <w:rFonts w:ascii="Calibri" w:hAnsi="Calibri"/>
                <w:sz w:val="22"/>
              </w:rPr>
              <w:t>Unchanged</w:t>
            </w:r>
          </w:p>
        </w:tc>
      </w:tr>
      <w:tr>
        <w:tc>
          <w:tcPr>
            <w:tcW w:type="dxa" w:w="1728"/>
          </w:tcPr>
          <w:p>
            <w:r>
              <w:rPr>
                <w:rFonts w:ascii="Calibri" w:hAnsi="Calibri"/>
                <w:sz w:val="22"/>
              </w:rPr>
              <w:t>FY 2026 Cash Taxes</w:t>
            </w:r>
          </w:p>
        </w:tc>
        <w:tc>
          <w:tcPr>
            <w:tcW w:type="dxa" w:w="1728"/>
          </w:tcPr>
          <w:p>
            <w:r>
              <w:rPr>
                <w:rFonts w:ascii="Calibri" w:hAnsi="Calibri"/>
                <w:sz w:val="22"/>
              </w:rPr>
              <w:t>$500M–$800M</w:t>
            </w:r>
          </w:p>
        </w:tc>
        <w:tc>
          <w:tcPr>
            <w:tcW w:type="dxa" w:w="1728"/>
          </w:tcPr>
          <w:p>
            <w:r>
              <w:rPr>
                <w:rFonts w:ascii="Calibri" w:hAnsi="Calibri"/>
                <w:sz w:val="22"/>
              </w:rPr>
              <w:t>—</w:t>
            </w:r>
          </w:p>
        </w:tc>
        <w:tc>
          <w:tcPr>
            <w:tcW w:type="dxa" w:w="1728"/>
          </w:tcPr>
          <w:p>
            <w:r>
              <w:rPr>
                <w:rFonts w:ascii="Calibri" w:hAnsi="Calibri"/>
                <w:sz w:val="22"/>
              </w:rPr>
              <w:t>N/A – not tracked in VA</w:t>
            </w:r>
          </w:p>
        </w:tc>
        <w:tc>
          <w:tcPr>
            <w:tcW w:type="dxa" w:w="1728"/>
          </w:tcPr>
          <w:p>
            <w:r>
              <w:rPr>
                <w:rFonts w:ascii="Calibri" w:hAnsi="Calibri"/>
                <w:sz w:val="22"/>
              </w:rPr>
              <w:t>Unchanged</w:t>
            </w:r>
          </w:p>
        </w:tc>
      </w:tr>
      <w:tr>
        <w:tc>
          <w:tcPr>
            <w:tcW w:type="dxa" w:w="1728"/>
          </w:tcPr>
          <w:p>
            <w:r>
              <w:rPr>
                <w:rFonts w:ascii="Calibri" w:hAnsi="Calibri"/>
                <w:sz w:val="22"/>
              </w:rPr>
              <w:t>Broadband ARPU (FY 2026)</w:t>
            </w:r>
          </w:p>
        </w:tc>
        <w:tc>
          <w:tcPr>
            <w:tcW w:type="dxa" w:w="1728"/>
          </w:tcPr>
          <w:p>
            <w:r>
              <w:rPr>
                <w:rFonts w:ascii="Calibri" w:hAnsi="Calibri"/>
                <w:sz w:val="22"/>
              </w:rPr>
              <w:t>"Close either way" to flat; single-product internet ARPU not how business is managed</w:t>
            </w:r>
          </w:p>
        </w:tc>
        <w:tc>
          <w:tcPr>
            <w:tcW w:type="dxa" w:w="1728"/>
          </w:tcPr>
          <w:p>
            <w:r>
              <w:rPr>
                <w:rFonts w:ascii="Calibri" w:hAnsi="Calibri"/>
                <w:sz w:val="22"/>
              </w:rPr>
              <w:t>—</w:t>
            </w:r>
          </w:p>
        </w:tc>
        <w:tc>
          <w:tcPr>
            <w:tcW w:type="dxa" w:w="1728"/>
          </w:tcPr>
          <w:p>
            <w:r>
              <w:rPr>
                <w:rFonts w:ascii="Calibri" w:hAnsi="Calibri"/>
                <w:sz w:val="22"/>
              </w:rPr>
              <w:t>$70.97 (2Q cons.)</w:t>
            </w:r>
          </w:p>
        </w:tc>
        <w:tc>
          <w:tcPr>
            <w:tcW w:type="dxa" w:w="1728"/>
          </w:tcPr>
          <w:p>
            <w:r>
              <w:rPr>
                <w:rFonts w:ascii="Calibri" w:hAnsi="Calibri"/>
                <w:sz w:val="22"/>
              </w:rPr>
              <w:t>Tone shift at Moffett Nathanson (May 14): CEO reframed to converged ARPU as preferred metric; cost pass-throughs deferred to summer 2026 with value enhancements</w:t>
            </w:r>
          </w:p>
        </w:tc>
      </w:tr>
      <w:tr>
        <w:tc>
          <w:tcPr>
            <w:tcW w:type="dxa" w:w="1728"/>
          </w:tcPr>
          <w:p>
            <w:r>
              <w:rPr>
                <w:rFonts w:ascii="Calibri" w:hAnsi="Calibri"/>
                <w:sz w:val="22"/>
              </w:rPr>
              <w:t>Cox OpEx Synergies</w:t>
            </w:r>
          </w:p>
        </w:tc>
        <w:tc>
          <w:tcPr>
            <w:tcW w:type="dxa" w:w="1728"/>
          </w:tcPr>
          <w:p>
            <w:r>
              <w:rPr>
                <w:rFonts w:ascii="Calibri" w:hAnsi="Calibri"/>
                <w:sz w:val="22"/>
              </w:rPr>
              <w:t>At least $800M run-rate (raised from $500M on Q1 call)</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 Raised at Q1 earnings (Apr 24); driven by non-programming procurement and facility consolidation; CFO expressed high confidence at JP Morgan (May 20)</w:t>
            </w:r>
          </w:p>
        </w:tc>
      </w:tr>
      <w:tr>
        <w:tc>
          <w:tcPr>
            <w:tcW w:type="dxa" w:w="1728"/>
          </w:tcPr>
          <w:p>
            <w:r>
              <w:rPr>
                <w:rFonts w:ascii="Calibri" w:hAnsi="Calibri"/>
                <w:sz w:val="22"/>
              </w:rPr>
              <w:t>Cox Close Timeline</w:t>
            </w:r>
          </w:p>
        </w:tc>
        <w:tc>
          <w:tcPr>
            <w:tcW w:type="dxa" w:w="1728"/>
          </w:tcPr>
          <w:p>
            <w:r>
              <w:rPr>
                <w:rFonts w:ascii="Calibri" w:hAnsi="Calibri"/>
                <w:sz w:val="22"/>
              </w:rPr>
              <w:t>Summer 2026; California CPUC last remaining approval; Aug 13 decision deadline requested</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all other federal and state approvals complete as of March 2026</w:t>
            </w:r>
          </w:p>
        </w:tc>
      </w:tr>
      <w:tr>
        <w:tc>
          <w:tcPr>
            <w:tcW w:type="dxa" w:w="1728"/>
          </w:tcPr>
          <w:p>
            <w:r>
              <w:rPr>
                <w:rFonts w:ascii="Calibri" w:hAnsi="Calibri"/>
                <w:sz w:val="22"/>
              </w:rPr>
              <w:t>Leverage Target (Post-Cox)</w:t>
            </w:r>
          </w:p>
        </w:tc>
        <w:tc>
          <w:tcPr>
            <w:tcW w:type="dxa" w:w="1728"/>
          </w:tcPr>
          <w:p>
            <w:r>
              <w:rPr>
                <w:rFonts w:ascii="Calibri" w:hAnsi="Calibri"/>
                <w:sz w:val="22"/>
              </w:rPr>
              <w:t>Low end of 3.5–3.75x within 3 years of close</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during pendency targeting at or slightly under 4.25x pro forma for Liberty transaction</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b/>
          <w:color w:val="525866"/>
          <w:sz w:val="22"/>
        </w:rPr>
        <w:t>Estimates for 2Q 2026 EBITDA have drifted modestly lower since the post-Q1 baseline (~-$36M), while internet net add estimates have worsened slightly. EPS estimates have declined ~$0.25 since the post-Q1 baseline. Estimates are broadly tracking guidance (slight EBITDA growth for FY), but the gap between consensus and the ARPU guidance language remains the key unresolved tension.</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1, 2026)</w:t>
            </w:r>
          </w:p>
        </w:tc>
        <w:tc>
          <w:tcPr>
            <w:tcW w:type="dxa" w:w="1080"/>
            <w:shd w:val="clear" w:color="auto" w:fill="3B4259"/>
          </w:tcPr>
          <w:p>
            <w:r>
              <w:rPr>
                <w:rFonts w:ascii="Calibri" w:hAnsi="Calibri"/>
                <w:b/>
                <w:color w:val="FFFFFF"/>
                <w:sz w:val="22"/>
              </w:rPr>
              <w:t>Current Estimate (Jul 23,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w:t>
            </w:r>
          </w:p>
        </w:tc>
      </w:tr>
      <w:tr>
        <w:tc>
          <w:tcPr>
            <w:tcW w:type="dxa" w:w="1080"/>
          </w:tcPr>
          <w:p>
            <w:r>
              <w:rPr>
                <w:rFonts w:ascii="Calibri" w:hAnsi="Calibri"/>
                <w:sz w:val="22"/>
              </w:rPr>
              <w:t>EBITDA – Operating (2Q 2026)</w:t>
            </w:r>
          </w:p>
        </w:tc>
        <w:tc>
          <w:tcPr>
            <w:tcW w:type="dxa" w:w="1080"/>
          </w:tcPr>
          <w:p>
            <w:r>
              <w:rPr>
                <w:rFonts w:ascii="Calibri" w:hAnsi="Calibri"/>
                <w:sz w:val="22"/>
              </w:rPr>
              <w:t>$5.609B</w:t>
            </w:r>
          </w:p>
        </w:tc>
        <w:tc>
          <w:tcPr>
            <w:tcW w:type="dxa" w:w="1080"/>
          </w:tcPr>
          <w:p>
            <w:r>
              <w:rPr>
                <w:rFonts w:ascii="Calibri" w:hAnsi="Calibri"/>
                <w:sz w:val="22"/>
              </w:rPr>
              <w:t>$5.575B</w:t>
            </w:r>
          </w:p>
        </w:tc>
        <w:tc>
          <w:tcPr>
            <w:tcW w:type="dxa" w:w="1080"/>
          </w:tcPr>
          <w:p>
            <w:r>
              <w:rPr>
                <w:rFonts w:ascii="Calibri" w:hAnsi="Calibri"/>
                <w:sz w:val="22"/>
              </w:rPr>
              <w:t>-0.6%</w:t>
            </w:r>
          </w:p>
        </w:tc>
        <w:tc>
          <w:tcPr>
            <w:tcW w:type="dxa" w:w="1080"/>
          </w:tcPr>
          <w:p>
            <w:r>
              <w:rPr>
                <w:rFonts w:ascii="Calibri" w:hAnsi="Calibri"/>
                <w:sz w:val="22"/>
              </w:rPr>
              <w:t>Slight FY growth ex-transition costs</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Tracking guidance</w:t>
            </w:r>
          </w:p>
        </w:tc>
      </w:tr>
      <w:tr>
        <w:tc>
          <w:tcPr>
            <w:tcW w:type="dxa" w:w="1080"/>
          </w:tcPr>
          <w:p>
            <w:r>
              <w:rPr>
                <w:rFonts w:ascii="Calibri" w:hAnsi="Calibri"/>
                <w:sz w:val="22"/>
              </w:rPr>
              <w:t>EBITDA – Operating (FY 2026)</w:t>
            </w:r>
          </w:p>
        </w:tc>
        <w:tc>
          <w:tcPr>
            <w:tcW w:type="dxa" w:w="1080"/>
          </w:tcPr>
          <w:p>
            <w:r>
              <w:rPr>
                <w:rFonts w:ascii="Calibri" w:hAnsi="Calibri"/>
                <w:sz w:val="22"/>
              </w:rPr>
              <w:t>$22.571B</w:t>
            </w:r>
          </w:p>
        </w:tc>
        <w:tc>
          <w:tcPr>
            <w:tcW w:type="dxa" w:w="1080"/>
          </w:tcPr>
          <w:p>
            <w:r>
              <w:rPr>
                <w:rFonts w:ascii="Calibri" w:hAnsi="Calibri"/>
                <w:sz w:val="22"/>
              </w:rPr>
              <w:t>$22.513B</w:t>
            </w:r>
          </w:p>
        </w:tc>
        <w:tc>
          <w:tcPr>
            <w:tcW w:type="dxa" w:w="1080"/>
          </w:tcPr>
          <w:p>
            <w:r>
              <w:rPr>
                <w:rFonts w:ascii="Calibri" w:hAnsi="Calibri"/>
                <w:sz w:val="22"/>
              </w:rPr>
              <w:t>-0.3%</w:t>
            </w:r>
          </w:p>
        </w:tc>
        <w:tc>
          <w:tcPr>
            <w:tcW w:type="dxa" w:w="1080"/>
          </w:tcPr>
          <w:p>
            <w:r>
              <w:rPr>
                <w:rFonts w:ascii="Calibri" w:hAnsi="Calibri"/>
                <w:sz w:val="22"/>
              </w:rPr>
              <w:t>Slight growth ex-transition costs</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Tracking guidance</w:t>
            </w:r>
          </w:p>
        </w:tc>
      </w:tr>
      <w:tr>
        <w:tc>
          <w:tcPr>
            <w:tcW w:type="dxa" w:w="1080"/>
          </w:tcPr>
          <w:p>
            <w:r>
              <w:rPr>
                <w:rFonts w:ascii="Calibri" w:hAnsi="Calibri"/>
                <w:sz w:val="22"/>
              </w:rPr>
              <w:t>EPS – Diluted (2Q 2026)</w:t>
            </w:r>
          </w:p>
        </w:tc>
        <w:tc>
          <w:tcPr>
            <w:tcW w:type="dxa" w:w="1080"/>
          </w:tcPr>
          <w:p>
            <w:r>
              <w:rPr>
                <w:rFonts w:ascii="Calibri" w:hAnsi="Calibri"/>
                <w:sz w:val="22"/>
              </w:rPr>
              <w:t>$10.25</w:t>
            </w:r>
          </w:p>
        </w:tc>
        <w:tc>
          <w:tcPr>
            <w:tcW w:type="dxa" w:w="1080"/>
          </w:tcPr>
          <w:p>
            <w:r>
              <w:rPr>
                <w:rFonts w:ascii="Calibri" w:hAnsi="Calibri"/>
                <w:sz w:val="22"/>
              </w:rPr>
              <w:t>$10.00</w:t>
            </w:r>
          </w:p>
        </w:tc>
        <w:tc>
          <w:tcPr>
            <w:tcW w:type="dxa" w:w="1080"/>
          </w:tcPr>
          <w:p>
            <w:r>
              <w:rPr>
                <w:rFonts w:ascii="Calibri" w:hAnsi="Calibri"/>
                <w:sz w:val="22"/>
              </w:rPr>
              <w:t>-2.4%</w:t>
            </w:r>
          </w:p>
        </w:tc>
        <w:tc>
          <w:tcPr>
            <w:tcW w:type="dxa" w:w="1080"/>
          </w:tcPr>
          <w:p>
            <w:r>
              <w:rPr>
                <w:rFonts w:ascii="Calibri" w:hAnsi="Calibri"/>
                <w:sz w:val="22"/>
              </w:rPr>
              <w:t>No specific guidance</w:t>
            </w:r>
          </w:p>
        </w:tc>
        <w:tc>
          <w:tcPr>
            <w:tcW w:type="dxa" w:w="1080"/>
          </w:tcPr>
          <w:p>
            <w:r>
              <w:rPr>
                <w:rFonts w:ascii="Calibri" w:hAnsi="Calibri"/>
                <w:sz w:val="22"/>
              </w:rPr>
              <w:t>No specific guidance</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EPS – Diluted (FY 2026)</w:t>
            </w:r>
          </w:p>
        </w:tc>
        <w:tc>
          <w:tcPr>
            <w:tcW w:type="dxa" w:w="1080"/>
          </w:tcPr>
          <w:p>
            <w:r>
              <w:rPr>
                <w:rFonts w:ascii="Calibri" w:hAnsi="Calibri"/>
                <w:sz w:val="22"/>
              </w:rPr>
              <w:t>$41.91</w:t>
            </w:r>
          </w:p>
        </w:tc>
        <w:tc>
          <w:tcPr>
            <w:tcW w:type="dxa" w:w="1080"/>
          </w:tcPr>
          <w:p>
            <w:r>
              <w:rPr>
                <w:rFonts w:ascii="Calibri" w:hAnsi="Calibri"/>
                <w:sz w:val="22"/>
              </w:rPr>
              <w:t>$41.41</w:t>
            </w:r>
          </w:p>
        </w:tc>
        <w:tc>
          <w:tcPr>
            <w:tcW w:type="dxa" w:w="1080"/>
          </w:tcPr>
          <w:p>
            <w:r>
              <w:rPr>
                <w:rFonts w:ascii="Calibri" w:hAnsi="Calibri"/>
                <w:sz w:val="22"/>
              </w:rPr>
              <w:t>-1.2%</w:t>
            </w:r>
          </w:p>
        </w:tc>
        <w:tc>
          <w:tcPr>
            <w:tcW w:type="dxa" w:w="1080"/>
          </w:tcPr>
          <w:p>
            <w:r>
              <w:rPr>
                <w:rFonts w:ascii="Calibri" w:hAnsi="Calibri"/>
                <w:sz w:val="22"/>
              </w:rPr>
              <w:t>No specific guidance</w:t>
            </w:r>
          </w:p>
        </w:tc>
        <w:tc>
          <w:tcPr>
            <w:tcW w:type="dxa" w:w="1080"/>
          </w:tcPr>
          <w:p>
            <w:r>
              <w:rPr>
                <w:rFonts w:ascii="Calibri" w:hAnsi="Calibri"/>
                <w:sz w:val="22"/>
              </w:rPr>
              <w:t>No specific guidance</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Internet Net Adds (2Q 2026, K)</w:t>
            </w:r>
          </w:p>
        </w:tc>
        <w:tc>
          <w:tcPr>
            <w:tcW w:type="dxa" w:w="1080"/>
          </w:tcPr>
          <w:p>
            <w:r>
              <w:rPr>
                <w:rFonts w:ascii="Calibri" w:hAnsi="Calibri"/>
                <w:sz w:val="22"/>
              </w:rPr>
              <w:t>-141K</w:t>
            </w:r>
          </w:p>
        </w:tc>
        <w:tc>
          <w:tcPr>
            <w:tcW w:type="dxa" w:w="1080"/>
          </w:tcPr>
          <w:p>
            <w:r>
              <w:rPr>
                <w:rFonts w:ascii="Calibri" w:hAnsi="Calibri"/>
                <w:sz w:val="22"/>
              </w:rPr>
              <w:t>-141K</w:t>
            </w:r>
          </w:p>
        </w:tc>
        <w:tc>
          <w:tcPr>
            <w:tcW w:type="dxa" w:w="1080"/>
          </w:tcPr>
          <w:p>
            <w:r>
              <w:rPr>
                <w:rFonts w:ascii="Calibri" w:hAnsi="Calibri"/>
                <w:sz w:val="22"/>
              </w:rPr>
              <w:t>Flat</w:t>
            </w:r>
          </w:p>
        </w:tc>
        <w:tc>
          <w:tcPr>
            <w:tcW w:type="dxa" w:w="1080"/>
          </w:tcPr>
          <w:p>
            <w:r>
              <w:rPr>
                <w:rFonts w:ascii="Calibri" w:hAnsi="Calibri"/>
                <w:sz w:val="22"/>
              </w:rPr>
              <w:t>No specific quarterly guidance</w:t>
            </w:r>
          </w:p>
        </w:tc>
        <w:tc>
          <w:tcPr>
            <w:tcW w:type="dxa" w:w="1080"/>
          </w:tcPr>
          <w:p>
            <w:r>
              <w:rPr>
                <w:rFonts w:ascii="Calibri" w:hAnsi="Calibri"/>
                <w:sz w:val="22"/>
              </w:rPr>
              <w:t>No specific quarterly guidance</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Internet Net Adds (FY 2026, K)</w:t>
            </w:r>
          </w:p>
        </w:tc>
        <w:tc>
          <w:tcPr>
            <w:tcW w:type="dxa" w:w="1080"/>
          </w:tcPr>
          <w:p>
            <w:r>
              <w:rPr>
                <w:rFonts w:ascii="Calibri" w:hAnsi="Calibri"/>
                <w:sz w:val="22"/>
              </w:rPr>
              <w:t>-511K</w:t>
            </w:r>
          </w:p>
        </w:tc>
        <w:tc>
          <w:tcPr>
            <w:tcW w:type="dxa" w:w="1080"/>
          </w:tcPr>
          <w:p>
            <w:r>
              <w:rPr>
                <w:rFonts w:ascii="Calibri" w:hAnsi="Calibri"/>
                <w:sz w:val="22"/>
              </w:rPr>
              <w:t>-503K</w:t>
            </w:r>
          </w:p>
        </w:tc>
        <w:tc>
          <w:tcPr>
            <w:tcW w:type="dxa" w:w="1080"/>
          </w:tcPr>
          <w:p>
            <w:r>
              <w:rPr>
                <w:rFonts w:ascii="Calibri" w:hAnsi="Calibri"/>
                <w:sz w:val="22"/>
              </w:rPr>
              <w:t>+1.6%</w:t>
            </w:r>
          </w:p>
        </w:tc>
        <w:tc>
          <w:tcPr>
            <w:tcW w:type="dxa" w:w="1080"/>
          </w:tcPr>
          <w:p>
            <w:r>
              <w:rPr>
                <w:rFonts w:ascii="Calibri" w:hAnsi="Calibri"/>
                <w:sz w:val="22"/>
              </w:rPr>
              <w:t>No specific guidance</w:t>
            </w:r>
          </w:p>
        </w:tc>
        <w:tc>
          <w:tcPr>
            <w:tcW w:type="dxa" w:w="1080"/>
          </w:tcPr>
          <w:p>
            <w:r>
              <w:rPr>
                <w:rFonts w:ascii="Calibri" w:hAnsi="Calibri"/>
                <w:sz w:val="22"/>
              </w:rPr>
              <w:t>No specific guidance</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Mobile Net Adds (2Q 2026, K)</w:t>
            </w:r>
          </w:p>
        </w:tc>
        <w:tc>
          <w:tcPr>
            <w:tcW w:type="dxa" w:w="1080"/>
          </w:tcPr>
          <w:p>
            <w:r>
              <w:rPr>
                <w:rFonts w:ascii="Calibri" w:hAnsi="Calibri"/>
                <w:sz w:val="22"/>
              </w:rPr>
              <w:t>+383K</w:t>
            </w:r>
          </w:p>
        </w:tc>
        <w:tc>
          <w:tcPr>
            <w:tcW w:type="dxa" w:w="1080"/>
          </w:tcPr>
          <w:p>
            <w:r>
              <w:rPr>
                <w:rFonts w:ascii="Calibri" w:hAnsi="Calibri"/>
                <w:sz w:val="22"/>
              </w:rPr>
              <w:t>+383K</w:t>
            </w:r>
          </w:p>
        </w:tc>
        <w:tc>
          <w:tcPr>
            <w:tcW w:type="dxa" w:w="1080"/>
          </w:tcPr>
          <w:p>
            <w:r>
              <w:rPr>
                <w:rFonts w:ascii="Calibri" w:hAnsi="Calibri"/>
                <w:sz w:val="22"/>
              </w:rPr>
              <w:t>Flat</w:t>
            </w:r>
          </w:p>
        </w:tc>
        <w:tc>
          <w:tcPr>
            <w:tcW w:type="dxa" w:w="1080"/>
          </w:tcPr>
          <w:p>
            <w:r>
              <w:rPr>
                <w:rFonts w:ascii="Calibri" w:hAnsi="Calibri"/>
                <w:sz w:val="22"/>
              </w:rPr>
              <w:t>No specific quarterly guidance</w:t>
            </w:r>
          </w:p>
        </w:tc>
        <w:tc>
          <w:tcPr>
            <w:tcW w:type="dxa" w:w="1080"/>
          </w:tcPr>
          <w:p>
            <w:r>
              <w:rPr>
                <w:rFonts w:ascii="Calibri" w:hAnsi="Calibri"/>
                <w:sz w:val="22"/>
              </w:rPr>
              <w:t>No specific quarterly guidance</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Mobile Net Adds (FY 2026, K)</w:t>
            </w:r>
          </w:p>
        </w:tc>
        <w:tc>
          <w:tcPr>
            <w:tcW w:type="dxa" w:w="1080"/>
          </w:tcPr>
          <w:p>
            <w:r>
              <w:rPr>
                <w:rFonts w:ascii="Calibri" w:hAnsi="Calibri"/>
                <w:sz w:val="22"/>
              </w:rPr>
              <w:t>+1,536K</w:t>
            </w:r>
          </w:p>
        </w:tc>
        <w:tc>
          <w:tcPr>
            <w:tcW w:type="dxa" w:w="1080"/>
          </w:tcPr>
          <w:p>
            <w:r>
              <w:rPr>
                <w:rFonts w:ascii="Calibri" w:hAnsi="Calibri"/>
                <w:sz w:val="22"/>
              </w:rPr>
              <w:t>+1,528K</w:t>
            </w:r>
          </w:p>
        </w:tc>
        <w:tc>
          <w:tcPr>
            <w:tcW w:type="dxa" w:w="1080"/>
          </w:tcPr>
          <w:p>
            <w:r>
              <w:rPr>
                <w:rFonts w:ascii="Calibri" w:hAnsi="Calibri"/>
                <w:sz w:val="22"/>
              </w:rPr>
              <w:t>-0.5%</w:t>
            </w:r>
          </w:p>
        </w:tc>
        <w:tc>
          <w:tcPr>
            <w:tcW w:type="dxa" w:w="1080"/>
          </w:tcPr>
          <w:p>
            <w:r>
              <w:rPr>
                <w:rFonts w:ascii="Calibri" w:hAnsi="Calibri"/>
                <w:sz w:val="22"/>
              </w:rPr>
              <w:t>No specific guidance</w:t>
            </w:r>
          </w:p>
        </w:tc>
        <w:tc>
          <w:tcPr>
            <w:tcW w:type="dxa" w:w="1080"/>
          </w:tcPr>
          <w:p>
            <w:r>
              <w:rPr>
                <w:rFonts w:ascii="Calibri" w:hAnsi="Calibri"/>
                <w:sz w:val="22"/>
              </w:rPr>
              <w:t>No specific guidance</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color w:val="525866"/>
          <w:sz w:val="22"/>
        </w:rPr>
        <w:t>Source: Visible Alpha Consensus and Actuals Data. Post-Q1 baseline as of May 1, 2026 (approximately 5 trading days after the April 24, 2026 earnings release). Estimates have drifted modestly lower across all KPIs since the post-Q1 baseline, with EPS showing the largest revision (-2.4% for 2Q, -1.2% for FY). EBITDA estimates remain broadly consistent with management’s guidance for slight FY growth excluding transition costs.</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b/>
          <w:color w:val="525866"/>
          <w:sz w:val="22"/>
        </w:rPr>
        <w:t xml:space="preserve">CHTR has underperformed both the XLC (Communication Services ETF) and the S&amp;P 500 dramatically since Q1 earnings — down ~30% vs. XLC down ~9% and SPY up ~3% — driven almost entirely by </w:t>
      </w:r>
      <w:r>
        <w:rPr>
          <w:rFonts w:ascii="Calibri" w:hAnsi="Calibri"/>
          <w:color w:val="525866"/>
          <w:sz w:val="22"/>
        </w:rPr>
        <w:t>multiple compression</w:t>
      </w:r>
      <w:r>
        <w:rPr>
          <w:rFonts w:ascii="Calibri" w:hAnsi="Calibri"/>
          <w:b/>
          <w:color w:val="525866"/>
          <w:sz w:val="22"/>
        </w:rPr>
        <w:t xml:space="preserve"> (EV/EBITDA contracted from ~5.4x to ~5.1x over 6 months) as the ARPU narrative reset investor expectations. The stock is now trading at levels that imply negative perpetuity growth, per management’s own characterization.</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CHTR vs. XLC (Communication Services ETF) vs. S&amp;P 500 — Indexed to 100 at Q1 2026 Earnings (April 24, 2026). Source: Yahoo Finance.</w:t>
      </w:r>
    </w:p>
    <w:p>
      <w:pPr>
        <w:pStyle w:val="ListBullet"/>
        <w:ind w:left="360" w:hanging="360"/>
      </w:pPr>
      <w:r>
        <w:rPr>
          <w:rFonts w:ascii="Calibri" w:hAnsi="Calibri"/>
          <w:b/>
          <w:color w:val="525866"/>
          <w:sz w:val="22"/>
        </w:rPr>
        <w:t xml:space="preserve">CHTR: </w:t>
      </w:r>
      <w:r>
        <w:rPr>
          <w:rFonts w:ascii="Calibri" w:hAnsi="Calibri"/>
          <w:color w:val="525866"/>
          <w:sz w:val="22"/>
        </w:rPr>
        <w:t>-29.8% since Q1 earnings (Apr 24 close: $180.13 → Jul 22 close: $129.22)</w:t>
      </w:r>
    </w:p>
    <w:p>
      <w:pPr>
        <w:pStyle w:val="ListBullet"/>
        <w:ind w:left="360" w:hanging="360"/>
      </w:pPr>
      <w:r>
        <w:rPr>
          <w:rFonts w:ascii="Calibri" w:hAnsi="Calibri"/>
          <w:b/>
          <w:color w:val="525866"/>
          <w:sz w:val="22"/>
        </w:rPr>
        <w:t xml:space="preserve">XLC (Communication Services ETF): </w:t>
      </w:r>
      <w:r>
        <w:rPr>
          <w:rFonts w:ascii="Calibri" w:hAnsi="Calibri"/>
          <w:color w:val="525866"/>
          <w:sz w:val="22"/>
        </w:rPr>
        <w:t>-5.5% over the same period</w:t>
      </w:r>
    </w:p>
    <w:p>
      <w:pPr>
        <w:pStyle w:val="ListBullet"/>
        <w:ind w:left="360" w:hanging="360"/>
      </w:pPr>
      <w:r>
        <w:rPr>
          <w:rFonts w:ascii="Calibri" w:hAnsi="Calibri"/>
          <w:b/>
          <w:color w:val="525866"/>
          <w:sz w:val="22"/>
        </w:rPr>
        <w:t xml:space="preserve">S&amp;P 500 (SPY): </w:t>
      </w:r>
      <w:r>
        <w:rPr>
          <w:rFonts w:ascii="Calibri" w:hAnsi="Calibri"/>
          <w:color w:val="525866"/>
          <w:sz w:val="22"/>
        </w:rPr>
        <w:t>+4.7% over the same period</w:t>
      </w:r>
    </w:p>
    <w:p>
      <w:pPr>
        <w:pStyle w:val="ListBullet"/>
        <w:ind w:left="360" w:hanging="360"/>
      </w:pPr>
      <w:r>
        <w:rPr>
          <w:rFonts w:ascii="Calibri" w:hAnsi="Calibri"/>
          <w:b/>
          <w:color w:val="525866"/>
          <w:sz w:val="22"/>
        </w:rPr>
        <w:t xml:space="preserve">Key events: </w:t>
      </w:r>
      <w:r>
        <w:rPr>
          <w:rFonts w:ascii="Calibri" w:hAnsi="Calibri"/>
          <w:color w:val="525866"/>
          <w:sz w:val="22"/>
        </w:rPr>
        <w:t>Moffett Nathanson Conference (May 14) — CEO clarified ARPU framing, stock stabilized briefly; SpaceX/Charter mobile partnership reports (Jun 29) — stock spiked ~13% on the day; Comcast NBCU spinoff announcement (Jun 29) — sector catalyst; Starlink competitive concerns (Jun–Jul) — ongoing sector headwind</w:t>
      </w:r>
    </w:p>
    <w:p>
      <w:r>
        <w:rPr>
          <w:rFonts w:ascii="Calibri" w:hAnsi="Calibri"/>
          <w:b/>
          <w:color w:val="525866"/>
          <w:sz w:val="22"/>
        </w:rPr>
        <w:t xml:space="preserve">Valuation context: </w:t>
      </w:r>
      <w:r>
        <w:rPr>
          <w:rFonts w:ascii="Calibri" w:hAnsi="Calibri"/>
          <w:color w:val="525866"/>
          <w:sz w:val="22"/>
        </w:rPr>
        <w:t>NTM EV/EBITDA of 5.14x as of July 23, 2026, vs. 5.40x six months ago and 6.46x twelve months ago. The 12-month multiple compression of ~20% has been the primary driver of the stock’s -68% decline over the past year, with estimate revisions a secondary contributor. At current levels, the stock trades at 2.6x NTM P/FCF — a historically low multiple that reflects deep skepticism about the broadband ARPU recovery path.</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b/>
          <w:color w:val="525866"/>
          <w:sz w:val="22"/>
        </w:rPr>
        <w:t>The most important development since Q1 earnings is the June 29 report of a potential SpaceX/Charter mobile partnership, which briefly sent the stock up ~13% and signals that management is actively exploring strategic options to address the competitive threat from Starlink — a potential game-changer for the investment thesis.</w:t>
      </w:r>
    </w:p>
    <w:p>
      <w:pPr>
        <w:pStyle w:val="ListBullet"/>
        <w:ind w:left="360" w:hanging="360"/>
      </w:pPr>
      <w:r>
        <w:rPr>
          <w:rFonts w:ascii="Calibri" w:hAnsi="Calibri"/>
          <w:b/>
          <w:color w:val="525866"/>
          <w:sz w:val="22"/>
        </w:rPr>
        <w:t xml:space="preserve">Jun 29, 2026 — SpaceX/Charter Mobile Partnership Reports: </w:t>
      </w:r>
      <w:r>
        <w:rPr>
          <w:rFonts w:ascii="Calibri" w:hAnsi="Calibri"/>
          <w:color w:val="525866"/>
          <w:sz w:val="22"/>
        </w:rPr>
        <w:t xml:space="preserve">Reports emerged that Charter is exploring a mobile partnership with SpaceX’s Starlink, sending CHTR shares up ~13% on the day. This is strategically significant as it would convert the primary competitive threat into a potential partner, consistent with management’s prior commentary about cooperation with satellite providers in low-density areas. Implication: </w:t>
      </w:r>
      <w:r>
        <w:rPr>
          <w:rFonts w:ascii="Calibri" w:hAnsi="Calibri"/>
          <w:b/>
          <w:color w:val="525866"/>
          <w:sz w:val="22"/>
        </w:rPr>
        <w:t>Any confirmation on the Q2 call would be a major positive catalyst.</w:t>
      </w:r>
    </w:p>
    <w:p>
      <w:pPr>
        <w:pStyle w:val="ListBullet"/>
        <w:ind w:left="360" w:hanging="360"/>
      </w:pPr>
      <w:r>
        <w:rPr>
          <w:rFonts w:ascii="Calibri" w:hAnsi="Calibri"/>
          <w:b/>
          <w:color w:val="525866"/>
          <w:sz w:val="22"/>
        </w:rPr>
        <w:t xml:space="preserve">Jun 29, 2026 — Comcast NBCU Spinoff Announcement: </w:t>
      </w:r>
      <w:r>
        <w:rPr>
          <w:rFonts w:ascii="Calibri" w:hAnsi="Calibri"/>
          <w:color w:val="525866"/>
          <w:sz w:val="22"/>
        </w:rPr>
        <w:t xml:space="preserve">Comcast announced plans to spin off NBCUniversal and Sky into a separate publicly traded company, sending CMCSA shares up 20%+. This sparked speculation about potential Comcast/Charter merger post-spinoff. Implication: </w:t>
      </w:r>
      <w:r>
        <w:rPr>
          <w:rFonts w:ascii="Calibri" w:hAnsi="Calibri"/>
          <w:b/>
          <w:color w:val="525866"/>
          <w:sz w:val="22"/>
        </w:rPr>
        <w:t>Sector M&amp;A optionality is a potential floor for CHTR valuation.</w:t>
      </w:r>
    </w:p>
    <w:p>
      <w:pPr>
        <w:pStyle w:val="ListBullet"/>
        <w:ind w:left="360" w:hanging="360"/>
      </w:pPr>
      <w:r>
        <w:rPr>
          <w:rFonts w:ascii="Calibri" w:hAnsi="Calibri"/>
          <w:b/>
          <w:color w:val="525866"/>
          <w:sz w:val="22"/>
        </w:rPr>
        <w:t xml:space="preserve">Jun 5–Jul 8, 2026 — Starlink Competitive Threat Escalation: </w:t>
      </w:r>
      <w:r>
        <w:rPr>
          <w:rFonts w:ascii="Calibri" w:hAnsi="Calibri"/>
          <w:color w:val="525866"/>
          <w:sz w:val="22"/>
        </w:rPr>
        <w:t xml:space="preserve">Multiple analyst reports and news articles highlighted Starlink’s growing threat to cable and telecom, with analysts cutting price targets on VZ, T, and TMUS. Barron’s reported Starlink now has 12M subscribers and is its most profitable SpaceX business. Implication: </w:t>
      </w:r>
      <w:r>
        <w:rPr>
          <w:rFonts w:ascii="Calibri" w:hAnsi="Calibri"/>
          <w:b/>
          <w:color w:val="525866"/>
          <w:sz w:val="22"/>
        </w:rPr>
        <w:t>Ongoing sector overhang; Charter’s rural exposure is most at risk.</w:t>
      </w:r>
    </w:p>
    <w:p>
      <w:pPr>
        <w:pStyle w:val="ListBullet"/>
        <w:ind w:left="360" w:hanging="360"/>
      </w:pPr>
      <w:r>
        <w:rPr>
          <w:rFonts w:ascii="Calibri" w:hAnsi="Calibri"/>
          <w:b/>
          <w:color w:val="525866"/>
          <w:sz w:val="22"/>
        </w:rPr>
        <w:t xml:space="preserve">Jul 22, 2026 — Benchmark Reiterates Buy, $380 PT: </w:t>
      </w:r>
      <w:r>
        <w:rPr>
          <w:rFonts w:ascii="Calibri" w:hAnsi="Calibri"/>
          <w:color w:val="525866"/>
          <w:sz w:val="22"/>
        </w:rPr>
        <w:t xml:space="preserve">Analyst Matthew Harrigan maintained Buy and $380 price target (197% upside from current levels), arguing Charter has a highly competitive network and that there is an increasing disconnect between analyst estimates and the stock’s valuation. He sees moderation of the ‘winner takes all’ Starlink narrative. Implication: </w:t>
      </w:r>
      <w:r>
        <w:rPr>
          <w:rFonts w:ascii="Calibri" w:hAnsi="Calibri"/>
          <w:b/>
          <w:color w:val="525866"/>
          <w:sz w:val="22"/>
        </w:rPr>
        <w:t>Bullish outlier view; most of the Street remains cautious.</w:t>
      </w:r>
    </w:p>
    <w:p>
      <w:pPr>
        <w:pStyle w:val="ListBullet"/>
        <w:ind w:left="360" w:hanging="360"/>
      </w:pPr>
      <w:r>
        <w:rPr>
          <w:rFonts w:ascii="Calibri" w:hAnsi="Calibri"/>
          <w:b/>
          <w:color w:val="525866"/>
          <w:sz w:val="22"/>
        </w:rPr>
        <w:t xml:space="preserve">Sep 1, 2026 — Nick Jeffery Joining as COO (Announced Q1): </w:t>
      </w:r>
      <w:r>
        <w:rPr>
          <w:rFonts w:ascii="Calibri" w:hAnsi="Calibri"/>
          <w:color w:val="525866"/>
          <w:sz w:val="22"/>
        </w:rPr>
        <w:t xml:space="preserve">New COO will oversee marketing, sales, field operations, and customer operations for both residential and B2B. Primary focus: go-to-market improvement and NPS improvement. Implication: </w:t>
      </w:r>
      <w:r>
        <w:rPr>
          <w:rFonts w:ascii="Calibri" w:hAnsi="Calibri"/>
          <w:b/>
          <w:color w:val="525866"/>
          <w:sz w:val="22"/>
        </w:rPr>
        <w:t>Operational catalyst; any early commentary on his priorities would be watched closely.</w:t>
      </w:r>
    </w:p>
    <w:p>
      <w:pPr>
        <w:pStyle w:val="ListBullet"/>
        <w:ind w:left="360" w:hanging="360"/>
      </w:pPr>
      <w:r>
        <w:rPr>
          <w:rFonts w:ascii="Calibri" w:hAnsi="Calibri"/>
          <w:b/>
          <w:color w:val="525866"/>
          <w:sz w:val="22"/>
        </w:rPr>
        <w:t xml:space="preserve">May 14, 2026 — Moffett Nathanson Conference: </w:t>
      </w:r>
      <w:r>
        <w:rPr>
          <w:rFonts w:ascii="Calibri" w:hAnsi="Calibri"/>
          <w:color w:val="525866"/>
          <w:sz w:val="22"/>
        </w:rPr>
        <w:t xml:space="preserve">CEO Winfrey clarified Q1 ARPU commentary, reframed converged ARPU as the preferred metric, confirmed cost pass-throughs deferred to summer 2026 with value enhancements, and raised Cox synergy estimate to at least $800M. Implication: </w:t>
      </w:r>
      <w:r>
        <w:rPr>
          <w:rFonts w:ascii="Calibri" w:hAnsi="Calibri"/>
          <w:b/>
          <w:color w:val="525866"/>
          <w:sz w:val="22"/>
        </w:rPr>
        <w:t>Provided some stabilization but did not fully resolve investor concerns.</w:t>
      </w:r>
    </w:p>
    <w:p>
      <w:pPr>
        <w:pStyle w:val="ListBullet"/>
        <w:ind w:left="360" w:hanging="360"/>
      </w:pPr>
      <w:r>
        <w:rPr>
          <w:rFonts w:ascii="Calibri" w:hAnsi="Calibri"/>
          <w:b/>
          <w:color w:val="525866"/>
          <w:sz w:val="22"/>
        </w:rPr>
        <w:t xml:space="preserve">May 20, 2026 — JP Morgan TMT Conference: </w:t>
      </w:r>
      <w:r>
        <w:rPr>
          <w:rFonts w:ascii="Calibri" w:hAnsi="Calibri"/>
          <w:color w:val="525866"/>
          <w:sz w:val="22"/>
        </w:rPr>
        <w:t xml:space="preserve">CFO Fischer reiterated no change to EBITDA guidance, provided new detail on Life Unlimited price lock sunset timing (2-product packages begin sunsetting Q4 2026; 3-product packages Q4 2027), and confirmed rural initiative completion by year-end 2026. Implication: </w:t>
      </w:r>
      <w:r>
        <w:rPr>
          <w:rFonts w:ascii="Calibri" w:hAnsi="Calibri"/>
          <w:b/>
          <w:color w:val="525866"/>
          <w:sz w:val="22"/>
        </w:rPr>
        <w:t>Price lock sunset timeline is a defined ARPU recovery catalyst beginning Q4 2026.</w:t>
      </w:r>
    </w:p>
    <w:p>
      <w:r>
        <w:br w:type="page"/>
      </w:r>
    </w:p>
    <w:p>
      <w:pPr>
        <w:pStyle w:val="Heading2"/>
      </w:pPr>
      <w:r>
        <w:rPr>
          <w:rFonts w:ascii="Calibri" w:hAnsi="Calibri"/>
          <w:b/>
          <w:color w:val="3B4259"/>
          <w:sz w:val="28"/>
        </w:rPr>
        <w:t>7. Peer Commentaries — Current-Quarter (2Q 2026) Read-Throughs</w:t>
      </w:r>
    </w:p>
    <w:p>
      <w:r>
        <w:rPr>
          <w:rFonts w:ascii="Calibri" w:hAnsi="Calibri"/>
          <w:b/>
          <w:color w:val="525866"/>
          <w:sz w:val="22"/>
        </w:rPr>
        <w:t xml:space="preserve">Scope note: </w:t>
      </w:r>
      <w:r>
        <w:rPr>
          <w:rFonts w:ascii="Calibri" w:hAnsi="Calibri"/>
          <w:color w:val="525866"/>
          <w:sz w:val="22"/>
        </w:rPr>
        <w:t>This section includes only commentary and results that speak to the April–June 2026 reporting quarter (2Q 2026). Prior-quarter earnings results (e.g., Q1 2026 results reported in April) are excluded. Sources include AT&amp;T’s 2Q 2026 earnings call (July 22), Comcast’s 2Q 2026 earnings call (July 23), and T-Mobile’s 2Q 2026 earnings release (July 23).</w:t>
      </w:r>
    </w:p>
    <w:p>
      <w:r>
        <w:rPr>
          <w:rFonts w:ascii="Calibri" w:hAnsi="Calibri"/>
          <w:b/>
          <w:color w:val="525866"/>
          <w:sz w:val="22"/>
        </w:rPr>
        <w:t xml:space="preserve">Key Takeaway: </w:t>
      </w:r>
      <w:r>
        <w:rPr>
          <w:rFonts w:ascii="Calibri" w:hAnsi="Calibri"/>
          <w:b/>
          <w:color w:val="525866"/>
          <w:sz w:val="22"/>
        </w:rPr>
        <w:t>AT&amp;T’s blowout 2Q results (record fiber adds, +432K postpaid phone adds) confirm the competitive environment remains intense for Charter, but also validate the convergence thesis. Comcast’s broadband losses improved YoY (-167K vs. -201K prior year) and wireless hit a record quarter (+448K), suggesting the go-to-market pivot is gaining traction — a mixed read-through for Charter. T-Mobile’s slowing account growth (-13% YoY) and rising churn are modestly positive for Charter’s mobile competitive dynamics.</w:t>
      </w:r>
    </w:p>
    <w:p>
      <w:pPr>
        <w:pStyle w:val="Heading3"/>
      </w:pPr>
      <w:r>
        <w:rPr>
          <w:rFonts w:ascii="Calibri" w:hAnsi="Calibri"/>
          <w:b/>
          <w:color w:val="3B4259"/>
          <w:sz w:val="24"/>
        </w:rPr>
        <w:t>AT&amp;T (T) — 2Q 2026 Earnings (Reported July 22, 2026)</w:t>
      </w:r>
    </w:p>
    <w:p>
      <w:r>
        <w:rPr>
          <w:rFonts w:ascii="Calibri" w:hAnsi="Calibri"/>
          <w:b/>
          <w:color w:val="525866"/>
          <w:sz w:val="22"/>
        </w:rPr>
        <w:t xml:space="preserve">Read-through signal: </w:t>
      </w:r>
      <w:r>
        <w:rPr>
          <w:rFonts w:ascii="Calibri" w:hAnsi="Calibri"/>
          <w:color w:val="525866"/>
          <w:sz w:val="22"/>
        </w:rPr>
        <w:t>Negative on broadband competitive intensity; mixed-to-positive on convergence thesis validation.</w:t>
      </w:r>
    </w:p>
    <w:p>
      <w:pPr>
        <w:pStyle w:val="ListBullet"/>
        <w:ind w:left="360" w:hanging="360"/>
      </w:pPr>
      <w:r>
        <w:rPr>
          <w:rFonts w:ascii="Calibri" w:hAnsi="Calibri"/>
          <w:b/>
          <w:color w:val="525866"/>
          <w:sz w:val="22"/>
        </w:rPr>
        <w:t xml:space="preserve">Record fiber and fixed wireless adds: </w:t>
      </w:r>
      <w:r>
        <w:rPr>
          <w:rFonts w:ascii="Calibri" w:hAnsi="Calibri"/>
          <w:color w:val="525866"/>
          <w:sz w:val="22"/>
        </w:rPr>
        <w:t xml:space="preserve">AT&amp;T added 432K postpaid phone net adds (vs. Street estimate of 325K) and 367K fiber net adds (vs. Street estimate of 303K) — its best-ever Q2 for fiber. AT&amp;T added over 1 million fiber locations during the quarter, accelerating deployment. </w:t>
      </w:r>
      <w:r>
        <w:rPr>
          <w:rFonts w:ascii="Calibri" w:hAnsi="Calibri"/>
          <w:b/>
          <w:color w:val="525866"/>
          <w:sz w:val="22"/>
        </w:rPr>
        <w:t>Read-through: AT&amp;T’s fiber acceleration directly pressures Charter’s broadband subscriber base in overlapping markets. The 8M new fiber locations planned for FY2026 (including 4M+ from Lumen) represents a meaningful step-up in competitive intensity.</w:t>
      </w:r>
    </w:p>
    <w:p>
      <w:pPr>
        <w:pStyle w:val="ListBullet"/>
        <w:ind w:left="360" w:hanging="360"/>
      </w:pPr>
      <w:r>
        <w:rPr>
          <w:rFonts w:ascii="Calibri" w:hAnsi="Calibri"/>
          <w:b/>
          <w:color w:val="525866"/>
          <w:sz w:val="22"/>
        </w:rPr>
        <w:t xml:space="preserve">Convergence driving superior economics: </w:t>
      </w:r>
      <w:r>
        <w:rPr>
          <w:rFonts w:ascii="Calibri" w:hAnsi="Calibri"/>
          <w:color w:val="525866"/>
          <w:sz w:val="22"/>
        </w:rPr>
        <w:t xml:space="preserve">42.5% of AT&amp;T’s advanced home internet customers also have a postpaid wireless account (45% excluding Lumen footprint). Converged customers exhibit lower churn, higher lifetime value, and stronger brand affinity. CEO Stankey: “When customers consolidate their internet access with us, we see lower churn, outstanding brand affinity, higher lifetime values.” </w:t>
      </w:r>
      <w:r>
        <w:rPr>
          <w:rFonts w:ascii="Calibri" w:hAnsi="Calibri"/>
          <w:b/>
          <w:color w:val="525866"/>
          <w:sz w:val="22"/>
        </w:rPr>
        <w:t>Read-through: Validates Charter’s strategic pivot to converged ARPU as the right metric. Charter’s mobile penetration of internet base is just over 20% vs. AT&amp;T’s 42.5% — the gap represents both the competitive threat and Charter’s upside opportunity.</w:t>
      </w:r>
    </w:p>
    <w:p>
      <w:pPr>
        <w:pStyle w:val="ListBullet"/>
        <w:ind w:left="360" w:hanging="360"/>
      </w:pPr>
      <w:r>
        <w:rPr>
          <w:rFonts w:ascii="Calibri" w:hAnsi="Calibri"/>
          <w:b/>
          <w:color w:val="525866"/>
          <w:sz w:val="22"/>
        </w:rPr>
        <w:t xml:space="preserve">Fiber ARPU pressure from convergence: </w:t>
      </w:r>
      <w:r>
        <w:rPr>
          <w:rFonts w:ascii="Calibri" w:hAnsi="Calibri"/>
          <w:color w:val="525866"/>
          <w:sz w:val="22"/>
        </w:rPr>
        <w:t xml:space="preserve">AT&amp;T’s fiber ARPU declined 1.3% YoY (flat ex-Lumen), reflecting discounted pricing for bundled services. CEO Stankey: “Our goal is not to maximize ARPU of individual products, but to maximize total advanced connectivity service revenues.” </w:t>
      </w:r>
      <w:r>
        <w:rPr>
          <w:rFonts w:ascii="Calibri" w:hAnsi="Calibri"/>
          <w:b/>
          <w:color w:val="525866"/>
          <w:sz w:val="22"/>
        </w:rPr>
        <w:t>Read-through: Directly validates Charter’s messaging that single-product internet ARPU is not the right metric. Investors should expect Charter to echo this framing on the Q2 call.</w:t>
      </w:r>
    </w:p>
    <w:p>
      <w:pPr>
        <w:pStyle w:val="ListBullet"/>
        <w:ind w:left="360" w:hanging="360"/>
      </w:pPr>
      <w:r>
        <w:rPr>
          <w:rFonts w:ascii="Calibri" w:hAnsi="Calibri"/>
          <w:b/>
          <w:color w:val="525866"/>
          <w:sz w:val="22"/>
        </w:rPr>
        <w:t xml:space="preserve">Fixed wireless as a transitional tool, not long-term strategy: </w:t>
      </w:r>
      <w:r>
        <w:rPr>
          <w:rFonts w:ascii="Calibri" w:hAnsi="Calibri"/>
          <w:color w:val="525866"/>
          <w:sz w:val="22"/>
        </w:rPr>
        <w:t xml:space="preserve">CEO Stankey stated: “I don’t consider it to be the optimal technology to serve fixed traffic over the long haul.” AT&amp;T is prioritizing scarce spectrum for mobility over fixed wireless. </w:t>
      </w:r>
      <w:r>
        <w:rPr>
          <w:rFonts w:ascii="Calibri" w:hAnsi="Calibri"/>
          <w:b/>
          <w:color w:val="525866"/>
          <w:sz w:val="22"/>
        </w:rPr>
        <w:t>Read-through: Modestly positive for Charter — AT&amp;T’s FWA expansion may moderate as fiber deployment accelerates, reducing one competitive headwind.</w:t>
      </w:r>
    </w:p>
    <w:p>
      <w:pPr>
        <w:pStyle w:val="ListBullet"/>
        <w:ind w:left="360" w:hanging="360"/>
      </w:pPr>
      <w:r>
        <w:rPr>
          <w:rFonts w:ascii="Calibri" w:hAnsi="Calibri"/>
          <w:b/>
          <w:color w:val="525866"/>
          <w:sz w:val="22"/>
        </w:rPr>
        <w:t xml:space="preserve">EBITDA margin expansion: </w:t>
      </w:r>
      <w:r>
        <w:rPr>
          <w:rFonts w:ascii="Calibri" w:hAnsi="Calibri"/>
          <w:color w:val="525866"/>
          <w:sz w:val="22"/>
        </w:rPr>
        <w:t xml:space="preserve">AT&amp;T achieved its highest consolidated adjusted EBITDA margin since refocusing on advanced connectivity, with EBITDA up 5.2% YoY and margin expanding 110bps to 39.1%. Advanced Connectivity EBITDA grew 8% YoY. </w:t>
      </w:r>
      <w:r>
        <w:rPr>
          <w:rFonts w:ascii="Calibri" w:hAnsi="Calibri"/>
          <w:b/>
          <w:color w:val="525866"/>
          <w:sz w:val="22"/>
        </w:rPr>
        <w:t>Read-through: Demonstrates that the convergence model can drive margin expansion over time — a positive signal for Charter’s long-term EBITDA trajectory as mobile penetration scales.</w:t>
      </w:r>
    </w:p>
    <w:p>
      <w:pPr>
        <w:pStyle w:val="Heading3"/>
      </w:pPr>
      <w:r>
        <w:rPr>
          <w:rFonts w:ascii="Calibri" w:hAnsi="Calibri"/>
          <w:b/>
          <w:color w:val="3B4259"/>
          <w:sz w:val="24"/>
        </w:rPr>
        <w:t>Comcast (CMCSA) — 2Q 2026 Earnings (Reported July 23, 2026)</w:t>
      </w:r>
    </w:p>
    <w:p>
      <w:r>
        <w:rPr>
          <w:rFonts w:ascii="Calibri" w:hAnsi="Calibri"/>
          <w:b/>
          <w:color w:val="525866"/>
          <w:sz w:val="22"/>
        </w:rPr>
        <w:t xml:space="preserve">Read-through signal: </w:t>
      </w:r>
      <w:r>
        <w:rPr>
          <w:rFonts w:ascii="Calibri" w:hAnsi="Calibri"/>
          <w:color w:val="525866"/>
          <w:sz w:val="22"/>
        </w:rPr>
        <w:t>Mixed — broadband losses improving YoY is modestly positive for sector sentiment; wireless record is a competitive read-through; EBITDA decline of 5.8% in Connectivity &amp; Platforms is a cautionary data point.</w:t>
      </w:r>
    </w:p>
    <w:p>
      <w:pPr>
        <w:pStyle w:val="ListBullet"/>
        <w:ind w:left="360" w:hanging="360"/>
      </w:pPr>
      <w:r>
        <w:rPr>
          <w:rFonts w:ascii="Calibri" w:hAnsi="Calibri"/>
          <w:b/>
          <w:color w:val="525866"/>
          <w:sz w:val="22"/>
        </w:rPr>
        <w:t xml:space="preserve">Broadband losses improved YoY: </w:t>
      </w:r>
      <w:r>
        <w:rPr>
          <w:rFonts w:ascii="Calibri" w:hAnsi="Calibri"/>
          <w:color w:val="525866"/>
          <w:sz w:val="22"/>
        </w:rPr>
        <w:t xml:space="preserve">Comcast lost 167K broadband subscribers in 2Q 2026, an improvement of 34K YoY. Management attributed this to traction from its new go-to-market strategy (simpler pricing, lower everyday price points). </w:t>
      </w:r>
      <w:r>
        <w:rPr>
          <w:rFonts w:ascii="Calibri" w:hAnsi="Calibri"/>
          <w:b/>
          <w:color w:val="525866"/>
          <w:sz w:val="22"/>
        </w:rPr>
        <w:t>Read-through: Modestly positive for Charter — if the sector’s largest cable operator is seeing broadband loss improvement, it suggests the competitive environment may be stabilizing at the margin. However, Comcast’s strategy involves lower pricing, which could pressure Charter’s ARPU.</w:t>
      </w:r>
    </w:p>
    <w:p>
      <w:pPr>
        <w:pStyle w:val="ListBullet"/>
        <w:ind w:left="360" w:hanging="360"/>
      </w:pPr>
      <w:r>
        <w:rPr>
          <w:rFonts w:ascii="Calibri" w:hAnsi="Calibri"/>
          <w:b/>
          <w:color w:val="525866"/>
          <w:sz w:val="22"/>
        </w:rPr>
        <w:t xml:space="preserve">Wireless record quarter: </w:t>
      </w:r>
      <w:r>
        <w:rPr>
          <w:rFonts w:ascii="Calibri" w:hAnsi="Calibri"/>
          <w:color w:val="525866"/>
          <w:sz w:val="22"/>
        </w:rPr>
        <w:t xml:space="preserve">Comcast added 448K mobile net lines in 2Q 2026 — its best quarter ever and second consecutive record. Total lines reached 10.2M (17% penetration of residential broadband base). Free line strategy is working: roughly half of residential postpaid phone connects came from customers taking a free line. </w:t>
      </w:r>
      <w:r>
        <w:rPr>
          <w:rFonts w:ascii="Calibri" w:hAnsi="Calibri"/>
          <w:b/>
          <w:color w:val="525866"/>
          <w:sz w:val="22"/>
        </w:rPr>
        <w:t>Read-through: Comcast’s wireless acceleration at 10.2M lines (vs. Charter’s 12M+) confirms the cable mobile opportunity is real. Charter’s higher penetration rate is a competitive advantage, but Comcast’s momentum is closing the gap.</w:t>
      </w:r>
    </w:p>
    <w:p>
      <w:pPr>
        <w:pStyle w:val="ListBullet"/>
        <w:ind w:left="360" w:hanging="360"/>
      </w:pPr>
      <w:r>
        <w:rPr>
          <w:rFonts w:ascii="Calibri" w:hAnsi="Calibri"/>
          <w:b/>
          <w:color w:val="525866"/>
          <w:sz w:val="22"/>
        </w:rPr>
        <w:t xml:space="preserve">Broadband ARPU declined 3.8%: </w:t>
      </w:r>
      <w:r>
        <w:rPr>
          <w:rFonts w:ascii="Calibri" w:hAnsi="Calibri"/>
          <w:color w:val="525866"/>
          <w:sz w:val="22"/>
        </w:rPr>
        <w:t xml:space="preserve">Comcast’s broadband ARPU fell 3.8% in 2Q due to no broadband rate increase and migration to lower everyday price points, compounded by dilution from free wireless lines. Management expects “modest improvement” starting in 3Q as free lines convert to paid. </w:t>
      </w:r>
      <w:r>
        <w:rPr>
          <w:rFonts w:ascii="Calibri" w:hAnsi="Calibri"/>
          <w:b/>
          <w:color w:val="525866"/>
          <w:sz w:val="22"/>
        </w:rPr>
        <w:t>Read-through: Comcast’s ARPU decline is more severe than Charter’s — Charter’s “close either way to flat” guidance looks relatively better in this context. However, it confirms that the entire cable sector is navigating ARPU pressure.</w:t>
      </w:r>
    </w:p>
    <w:p>
      <w:pPr>
        <w:pStyle w:val="ListBullet"/>
        <w:ind w:left="360" w:hanging="360"/>
      </w:pPr>
      <w:r>
        <w:rPr>
          <w:rFonts w:ascii="Calibri" w:hAnsi="Calibri"/>
          <w:b/>
          <w:color w:val="525866"/>
          <w:sz w:val="22"/>
        </w:rPr>
        <w:t xml:space="preserve">Connectivity &amp; Platforms EBITDA declined 5.8%: </w:t>
      </w:r>
      <w:r>
        <w:rPr>
          <w:rFonts w:ascii="Calibri" w:hAnsi="Calibri"/>
          <w:color w:val="525866"/>
          <w:sz w:val="22"/>
        </w:rPr>
        <w:t xml:space="preserve">Driven by go-to-market pivot investments and free wireless line dilution. Management expects “modest improvements starting in 3Q” as free lines monetize and early investments are lapped. </w:t>
      </w:r>
      <w:r>
        <w:rPr>
          <w:rFonts w:ascii="Calibri" w:hAnsi="Calibri"/>
          <w:b/>
          <w:color w:val="525866"/>
          <w:sz w:val="22"/>
        </w:rPr>
        <w:t>Read-through: Charter’s EBITDA guidance of slight FY growth looks achievable relative to Comcast’s steeper decline, but confirms the sector is in a period of investment-driven margin pressure.</w:t>
      </w:r>
    </w:p>
    <w:p>
      <w:pPr>
        <w:pStyle w:val="ListBullet"/>
        <w:ind w:left="360" w:hanging="360"/>
      </w:pPr>
      <w:r>
        <w:rPr>
          <w:rFonts w:ascii="Calibri" w:hAnsi="Calibri"/>
          <w:b/>
          <w:color w:val="525866"/>
          <w:sz w:val="22"/>
        </w:rPr>
        <w:t xml:space="preserve">Satellite competition: </w:t>
      </w:r>
      <w:r>
        <w:rPr>
          <w:rFonts w:ascii="Calibri" w:hAnsi="Calibri"/>
          <w:color w:val="525866"/>
          <w:sz w:val="22"/>
        </w:rPr>
        <w:t xml:space="preserve">Comcast stated it is “not seeing [Starlink] as a meaningful competitive factor in our markets” currently, but “fully expects to see them more as a competitor over time,” particularly in rural and underserved areas. Comcast already has a Starlink partnership for enterprise customers. </w:t>
      </w:r>
      <w:r>
        <w:rPr>
          <w:rFonts w:ascii="Calibri" w:hAnsi="Calibri"/>
          <w:b/>
          <w:color w:val="525866"/>
          <w:sz w:val="22"/>
        </w:rPr>
        <w:t>Read-through: Consistent with Charter’s prior commentary. The potential Charter/SpaceX partnership (Jun 29 reports) would be a more aggressive version of Comcast’s enterprise-only approach.</w:t>
      </w:r>
    </w:p>
    <w:p>
      <w:pPr>
        <w:pStyle w:val="ListBullet"/>
        <w:ind w:left="360" w:hanging="360"/>
      </w:pPr>
      <w:r>
        <w:rPr>
          <w:rFonts w:ascii="Calibri" w:hAnsi="Calibri"/>
          <w:b/>
          <w:color w:val="525866"/>
          <w:sz w:val="22"/>
        </w:rPr>
        <w:t xml:space="preserve">Converged ARPU of $85: </w:t>
      </w:r>
      <w:r>
        <w:rPr>
          <w:rFonts w:ascii="Calibri" w:hAnsi="Calibri"/>
          <w:color w:val="525866"/>
          <w:sz w:val="22"/>
        </w:rPr>
        <w:t xml:space="preserve">Comcast’s converged ARPU is $85, which management described as “significantly below the competition,” indicating a long runway for growth. </w:t>
      </w:r>
      <w:r>
        <w:rPr>
          <w:rFonts w:ascii="Calibri" w:hAnsi="Calibri"/>
          <w:b/>
          <w:color w:val="525866"/>
          <w:sz w:val="22"/>
        </w:rPr>
        <w:t>Read-through: Validates Charter’s converged ARPU framing. Charter’s converged ARPU is growing, per management, and this metric is increasingly the right way to evaluate both companies.</w:t>
      </w:r>
    </w:p>
    <w:p>
      <w:pPr>
        <w:pStyle w:val="Heading3"/>
      </w:pPr>
      <w:r>
        <w:rPr>
          <w:rFonts w:ascii="Calibri" w:hAnsi="Calibri"/>
          <w:b/>
          <w:color w:val="3B4259"/>
          <w:sz w:val="24"/>
        </w:rPr>
        <w:t>T-Mobile (TMUS) — 2Q 2026 Earnings (Reported July 23, 2026)</w:t>
      </w:r>
    </w:p>
    <w:p>
      <w:r>
        <w:rPr>
          <w:rFonts w:ascii="Calibri" w:hAnsi="Calibri"/>
          <w:b/>
          <w:color w:val="525866"/>
          <w:sz w:val="22"/>
        </w:rPr>
        <w:t xml:space="preserve">Read-through signal: </w:t>
      </w:r>
      <w:r>
        <w:rPr>
          <w:rFonts w:ascii="Calibri" w:hAnsi="Calibri"/>
          <w:color w:val="525866"/>
          <w:sz w:val="22"/>
        </w:rPr>
        <w:t>Modestly positive for Charter — T-Mobile’s slowing account growth and rising churn suggest the wireless competitive environment may be easing slightly, which could benefit Charter’s mobile net add trajectory.</w:t>
      </w:r>
    </w:p>
    <w:p>
      <w:pPr>
        <w:pStyle w:val="ListBullet"/>
        <w:ind w:left="360" w:hanging="360"/>
      </w:pPr>
      <w:r>
        <w:rPr>
          <w:rFonts w:ascii="Calibri" w:hAnsi="Calibri"/>
          <w:b/>
          <w:color w:val="525866"/>
          <w:sz w:val="22"/>
        </w:rPr>
        <w:t xml:space="preserve">Account growth slowing: </w:t>
      </w:r>
      <w:r>
        <w:rPr>
          <w:rFonts w:ascii="Calibri" w:hAnsi="Calibri"/>
          <w:color w:val="525866"/>
          <w:sz w:val="22"/>
        </w:rPr>
        <w:t xml:space="preserve">T-Mobile added 277K postpaid net accounts in 2Q 2026, down 13% YoY (vs. 318K in 2Q 2025). This was still above Street estimates but marked the first quarter in some time where guidance did not rise across the board. Stock fell 5.7% on the day. </w:t>
      </w:r>
      <w:r>
        <w:rPr>
          <w:rFonts w:ascii="Calibri" w:hAnsi="Calibri"/>
          <w:b/>
          <w:color w:val="525866"/>
          <w:sz w:val="22"/>
        </w:rPr>
        <w:t>Read-through: T-Mobile’s slowing growth suggests the wireless market is maturing, which could reduce the intensity of device subsidy activity that has been pressuring Charter’s mobile churn.</w:t>
      </w:r>
    </w:p>
    <w:p>
      <w:pPr>
        <w:pStyle w:val="ListBullet"/>
        <w:ind w:left="360" w:hanging="360"/>
      </w:pPr>
      <w:r>
        <w:rPr>
          <w:rFonts w:ascii="Calibri" w:hAnsi="Calibri"/>
          <w:b/>
          <w:color w:val="525866"/>
          <w:sz w:val="22"/>
        </w:rPr>
        <w:t xml:space="preserve">Postpaid account churn rising: </w:t>
      </w:r>
      <w:r>
        <w:rPr>
          <w:rFonts w:ascii="Calibri" w:hAnsi="Calibri"/>
          <w:color w:val="525866"/>
          <w:sz w:val="22"/>
        </w:rPr>
        <w:t xml:space="preserve">Postpaid account churn was 0.99% in 2Q 2026, up from 0.92% in 2Q 2025. </w:t>
      </w:r>
      <w:r>
        <w:rPr>
          <w:rFonts w:ascii="Calibri" w:hAnsi="Calibri"/>
          <w:b/>
          <w:color w:val="525866"/>
          <w:sz w:val="22"/>
        </w:rPr>
        <w:t>Read-through: Rising churn at T-Mobile could create switching opportunities for Charter’s Spectrum Mobile, particularly among customers in Charter’s footprint.</w:t>
      </w:r>
    </w:p>
    <w:p>
      <w:pPr>
        <w:pStyle w:val="ListBullet"/>
        <w:ind w:left="360" w:hanging="360"/>
      </w:pPr>
      <w:r>
        <w:rPr>
          <w:rFonts w:ascii="Calibri" w:hAnsi="Calibri"/>
          <w:b/>
          <w:color w:val="525866"/>
          <w:sz w:val="22"/>
        </w:rPr>
        <w:t xml:space="preserve">ARPA growing: </w:t>
      </w:r>
      <w:r>
        <w:rPr>
          <w:rFonts w:ascii="Calibri" w:hAnsi="Calibri"/>
          <w:color w:val="525866"/>
          <w:sz w:val="22"/>
        </w:rPr>
        <w:t xml:space="preserve">Postpaid ARPA grew 2% YoY to $152.91, driven by pricing actions. Core Adjusted EBITDA grew 12% YoY to $9.5B. </w:t>
      </w:r>
      <w:r>
        <w:rPr>
          <w:rFonts w:ascii="Calibri" w:hAnsi="Calibri"/>
          <w:b/>
          <w:color w:val="525866"/>
          <w:sz w:val="22"/>
        </w:rPr>
        <w:t>Read-through: T-Mobile’s ability to grow ARPA while maintaining strong subscriber metrics validates the pricing power in wireless — a positive signal for Charter’s mobile ARPU trajectory as it scales.</w:t>
      </w:r>
    </w:p>
    <w:p>
      <w:pPr>
        <w:pStyle w:val="ListBullet"/>
        <w:ind w:left="360" w:hanging="360"/>
      </w:pPr>
      <w:r>
        <w:rPr>
          <w:rFonts w:ascii="Calibri" w:hAnsi="Calibri"/>
          <w:b/>
          <w:color w:val="525866"/>
          <w:sz w:val="22"/>
        </w:rPr>
        <w:t xml:space="preserve">Spectrum auction commentary: </w:t>
      </w:r>
      <w:r>
        <w:rPr>
          <w:rFonts w:ascii="Calibri" w:hAnsi="Calibri"/>
          <w:color w:val="525866"/>
          <w:sz w:val="22"/>
        </w:rPr>
        <w:t xml:space="preserve">T-Mobile discussed upcoming Spectrum auctions on the earnings call, noting they could provide additional bandwidth benefits. </w:t>
      </w:r>
      <w:r>
        <w:rPr>
          <w:rFonts w:ascii="Calibri" w:hAnsi="Calibri"/>
          <w:b/>
          <w:color w:val="525866"/>
          <w:sz w:val="22"/>
        </w:rPr>
        <w:t>Read-through: Charter’s CBRS rollout and Wi-Fi offload strategy (88-89% offload rate) positions it well relative to MVNO competitors in spectrum efficiency.</w:t>
      </w:r>
    </w:p>
    <w:p>
      <w:pPr>
        <w:pStyle w:val="ListBullet"/>
        <w:ind w:left="360" w:hanging="360"/>
      </w:pPr>
      <w:r>
        <w:rPr>
          <w:rFonts w:ascii="Calibri" w:hAnsi="Calibri"/>
          <w:b/>
          <w:color w:val="525866"/>
          <w:sz w:val="22"/>
        </w:rPr>
        <w:t xml:space="preserve">Raised cash flow guidance: </w:t>
      </w:r>
      <w:r>
        <w:rPr>
          <w:rFonts w:ascii="Calibri" w:hAnsi="Calibri"/>
          <w:color w:val="525866"/>
          <w:sz w:val="22"/>
        </w:rPr>
        <w:t xml:space="preserve">T-Mobile raised Adjusted Free Cash Flow guidance to $18.4B–$18.8B (from $18.1B–$18.7B). Core Adjusted EBITDA guidance maintained at $37.1B–$37.5B. </w:t>
      </w:r>
      <w:r>
        <w:rPr>
          <w:rFonts w:ascii="Calibri" w:hAnsi="Calibri"/>
          <w:b/>
          <w:color w:val="525866"/>
          <w:sz w:val="22"/>
        </w:rPr>
        <w:t>Read-through: T-Mobile’s financial strength means it will continue to be an aggressive competitor in wireless, but its focus on its own network economics may limit the intensity of promotional activity that has pressured Charter’s mobile churn.</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b/>
          <w:color w:val="525866"/>
          <w:sz w:val="22"/>
        </w:rPr>
        <w:t>The most notable signal is the cluster of open-market purchases by multiple directors and the CEO immediately following the Q1 earnings selloff (April 28, 2026) — a strong vote of confidence at the lows. The one sale (Director Emeritus Rutledge, May 26) was a discretionary open-market sale but relatively small in context.</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