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Cincinnati Financial (CINF) to build a well-informed earnings preview. Let me gather recent filings, transcripts, news, and price data.Let me read the most recent earnings materials and get price data.Let me pull the Q1 2026 release for clean segment metrics and check for recent industry/catastrophe context.Let me compute price/valuation stats and check analyst consensus.I have what I need. Here's the earnings preview.</w:t>
      </w:r>
    </w:p>
    <w:bookmarkStart w:id="21" w:name="Xbb63a0f808818c6c5476ee3d900836c9b602c77"/>
    <w:p>
      <w:pPr>
        <w:pStyle w:val="Heading1"/>
      </w:pPr>
      <w:r>
        <w:t xml:space="preserve">Cincinnati Financial (CINF) — Q2 2026 Earnings Preview</w:t>
      </w:r>
    </w:p>
    <w:bookmarkStart w:id="9" w:name="X99eaf35b049f608e40a7bf9fcba81a9309d907c"/>
    <w:p>
      <w:pPr>
        <w:pStyle w:val="Heading3"/>
      </w:pPr>
      <w:r>
        <w:t xml:space="preserve">Report date: Monday, July 27, 2026 | 2026Q2 Earnings Call</w:t>
      </w:r>
    </w:p>
    <w:p>
      <w:r>
        <w:pict>
          <v:rect style="width:0;height:1.5pt" o:hralign="center" o:hrstd="t" o:hr="t"/>
        </w:pict>
      </w:r>
    </w:p>
    <w:bookmarkEnd w:id="9"/>
    <w:bookmarkStart w:id="10" w:name="the-setup"/>
    <w:p>
      <w:pPr>
        <w:pStyle w:val="Heading2"/>
      </w:pPr>
      <w:r>
        <w:t xml:space="preserve">The Setup</w:t>
      </w:r>
    </w:p>
    <w:p>
      <w:pPr>
        <w:pStyle w:val="FirstParagraph"/>
      </w:pPr>
      <w:r>
        <w:t xml:space="preserve">Cincinnati Financial heads into its Q2 print with the stock near all-time highs and a "prove-it" bar set by a strong Q1. Shares closed at</w:t>
      </w:r>
      <w:r>
        <w:t xml:space="preserve"> </w:t>
      </w:r>
      <w:r>
        <w:rPr>
          <w:b/>
          <w:bCs/>
        </w:rPr>
        <w:t xml:space="preserve">$182.84 on July 24</w:t>
      </w:r>
      <w:r>
        <w:t xml:space="preserve">, up roughly 22% from late-March lows near</w:t>
      </w:r>
      <w:r>
        <w:t xml:space="preserve"> </w:t>
      </w:r>
      <m:oMath>
        <m:r>
          <m:t>150</m:t>
        </m:r>
        <m:r>
          <m:t>a</m:t>
        </m:r>
        <m:r>
          <m:t>n</m:t>
        </m:r>
        <m:r>
          <m:t>d</m:t>
        </m:r>
        <m:r>
          <m:t>j</m:t>
        </m:r>
        <m:r>
          <m:t>u</m:t>
        </m:r>
        <m:r>
          <m:t>s</m:t>
        </m:r>
        <m:r>
          <m:t>t</m:t>
        </m:r>
        <m:r>
          <m:t>o</m:t>
        </m:r>
        <m:r>
          <m:t>f</m:t>
        </m:r>
        <m:r>
          <m:t>f</m:t>
        </m:r>
        <m:r>
          <m:t>a</m:t>
        </m:r>
        <m:r>
          <m:rPr>
            <m:sty m:val="p"/>
          </m:rPr>
          <m:t>*</m:t>
        </m:r>
        <m:r>
          <m:rPr>
            <m:sty m:val="p"/>
          </m:rPr>
          <m:t>*</m:t>
        </m:r>
        <m:r>
          <m:t> </m:t>
        </m:r>
      </m:oMath>
      <w:r>
        <w:t xml:space="preserve">192 intraday peak** hit in early July. At ~</w:t>
      </w:r>
      <w:r>
        <w:rPr>
          <w:b/>
          <w:bCs/>
        </w:rPr>
        <w:t xml:space="preserve">1.8x</w:t>
      </w:r>
      <w:r>
        <w:t xml:space="preserve"> </w:t>
      </w:r>
      <w:r>
        <w:t xml:space="preserve">the Q1 book value of</w:t>
      </w:r>
      <w:r>
        <w:t xml:space="preserve"> </w:t>
      </w:r>
      <w:r>
        <w:rPr>
          <w:b/>
          <w:bCs/>
        </w:rPr>
        <w:t xml:space="preserve">$101.60/share</w:t>
      </w:r>
      <w:r>
        <w:t xml:space="preserve">, CINF is not cheap for a super-regional P&amp;C underwriter, so the burden of proof is on continued underwriting improvement and book-value growth.</w:t>
      </w:r>
    </w:p>
    <w:p>
      <w:pPr>
        <w:pStyle w:val="BodyText"/>
      </w:pPr>
      <w:r>
        <w:rPr>
          <w:b/>
          <w:bCs/>
        </w:rPr>
        <w:t xml:space="preserve">Consensus (per third-party aggregators):</w:t>
      </w:r>
      <w:r>
        <w:t xml:space="preserve"> </w:t>
      </w:r>
      <w:r>
        <w:t xml:space="preserve">operating EPS around</w:t>
      </w:r>
      <w:r>
        <w:t xml:space="preserve"> </w:t>
      </w:r>
      <m:oMath>
        <m:r>
          <m:t>1.73</m:t>
        </m:r>
        <m:r>
          <m:rPr>
            <m:sty m:val="p"/>
          </m:rPr>
          <m:t>–</m:t>
        </m:r>
      </m:oMath>
      <w:r>
        <w:rPr>
          <w:b/>
          <w:bCs/>
        </w:rPr>
        <w:t xml:space="preserve">1.82</w:t>
      </w:r>
      <w:r>
        <w:t xml:space="preserve"> </w:t>
      </w:r>
      <w:r>
        <w:t xml:space="preserve">on revenue of roughly</w:t>
      </w:r>
      <w:r>
        <w:t xml:space="preserve"> </w:t>
      </w:r>
      <m:oMath>
        <m:r>
          <m:t>2.71</m:t>
        </m:r>
        <m:r>
          <m:t>B</m:t>
        </m:r>
        <m:r>
          <m:rPr>
            <m:sty m:val="p"/>
          </m:rPr>
          <m:t>*</m:t>
        </m:r>
        <m:r>
          <m:rPr>
            <m:sty m:val="p"/>
          </m:rPr>
          <m:t>*</m:t>
        </m:r>
        <m:r>
          <m:rPr>
            <m:sty m:val="p"/>
          </m:rPr>
          <m:t>,</m:t>
        </m:r>
        <m:r>
          <m:t>w</m:t>
        </m:r>
        <m:r>
          <m:t>h</m:t>
        </m:r>
        <m:r>
          <m:t>i</m:t>
        </m:r>
        <m:r>
          <m:t>c</m:t>
        </m:r>
        <m:r>
          <m:t>h</m:t>
        </m:r>
        <m:r>
          <m:t>w</m:t>
        </m:r>
        <m:r>
          <m:t>o</m:t>
        </m:r>
        <m:r>
          <m:t>u</m:t>
        </m:r>
        <m:r>
          <m:t>l</m:t>
        </m:r>
        <m:r>
          <m:t>d</m:t>
        </m:r>
        <m:r>
          <m:t>b</m:t>
        </m:r>
        <m:r>
          <m:t>e</m:t>
        </m:r>
        <m:r>
          <m:t>a</m:t>
        </m:r>
        <m:r>
          <m:rPr>
            <m:sty m:val="p"/>
          </m:rPr>
          <m:t>*</m:t>
        </m:r>
        <m:r>
          <m:t>d</m:t>
        </m:r>
        <m:r>
          <m:t>e</m:t>
        </m:r>
        <m:r>
          <m:t>c</m:t>
        </m:r>
        <m:r>
          <m:t>l</m:t>
        </m:r>
        <m:r>
          <m:t>i</m:t>
        </m:r>
        <m:r>
          <m:t>n</m:t>
        </m:r>
        <m:r>
          <m:t>e</m:t>
        </m:r>
        <m:r>
          <m:rPr>
            <m:sty m:val="p"/>
          </m:rPr>
          <m:t>*</m:t>
        </m:r>
        <m:r>
          <m:t>v</m:t>
        </m:r>
        <m:r>
          <m:t>e</m:t>
        </m:r>
        <m:r>
          <m:t>r</m:t>
        </m:r>
        <m:r>
          <m:t>s</m:t>
        </m:r>
        <m:r>
          <m:t>u</m:t>
        </m:r>
        <m:r>
          <m:t>s</m:t>
        </m:r>
        <m:r>
          <m:t>t</m:t>
        </m:r>
        <m:r>
          <m:t>h</m:t>
        </m:r>
        <m:r>
          <m:t>e</m:t>
        </m:r>
        <m:r>
          <m:t>y</m:t>
        </m:r>
        <m:r>
          <m:t>e</m:t>
        </m:r>
        <m:r>
          <m:t>a</m:t>
        </m:r>
        <m:r>
          <m:t>r</m:t>
        </m:r>
        <m:r>
          <m:rPr>
            <m:sty m:val="p"/>
          </m:rPr>
          <m:t>−</m:t>
        </m:r>
        <m:r>
          <m:t>a</m:t>
        </m:r>
        <m:r>
          <m:t>g</m:t>
        </m:r>
        <m:r>
          <m:t>o</m:t>
        </m:r>
        <m:r>
          <m:rPr>
            <m:sty m:val="p"/>
          </m:rPr>
          <m:t>*</m:t>
        </m:r>
        <m:r>
          <m:rPr>
            <m:sty m:val="p"/>
          </m:rPr>
          <m:t>*</m:t>
        </m:r>
      </m:oMath>
      <w:r>
        <w:rPr>
          <w:b/>
          <w:bCs/>
        </w:rPr>
        <w:t xml:space="preserve">1.97</w:t>
      </w:r>
      <w:r>
        <w:t xml:space="preserve"> </w:t>
      </w:r>
      <w:r>
        <w:t xml:space="preserve">operating EPS — largely a function of tougher comps and softening commercial pricing rather than deterioration. For context, CINF handily beat in Q1 (reported **</w:t>
      </w:r>
      <m:oMath>
        <m:r>
          <m:t>2.10</m:t>
        </m:r>
        <m:r>
          <m:rPr>
            <m:sty m:val="p"/>
          </m:rPr>
          <m:t>*</m:t>
        </m:r>
        <m:r>
          <m:rPr>
            <m:sty m:val="p"/>
          </m:rPr>
          <m:t>*</m:t>
        </m:r>
        <m:r>
          <m:t>o</m:t>
        </m:r>
        <m:r>
          <m:t>p</m:t>
        </m:r>
        <m:r>
          <m:t>e</m:t>
        </m:r>
        <m:r>
          <m:t>r</m:t>
        </m:r>
        <m:r>
          <m:t>a</m:t>
        </m:r>
        <m:r>
          <m:t>t</m:t>
        </m:r>
        <m:r>
          <m:t>i</m:t>
        </m:r>
        <m:r>
          <m:t>n</m:t>
        </m:r>
        <m:r>
          <m:t>g</m:t>
        </m:r>
        <m:r>
          <m:t>E</m:t>
        </m:r>
        <m:r>
          <m:t>P</m:t>
        </m:r>
        <m:r>
          <m:t>S</m:t>
        </m:r>
        <m:r>
          <m:t>v</m:t>
        </m:r>
        <m:r>
          <m:t>s</m:t>
        </m:r>
        <m:r>
          <m:rPr>
            <m:sty m:val="p"/>
          </m:rPr>
          <m:t>.</m:t>
        </m:r>
        <m:r>
          <m:t> </m:t>
        </m:r>
      </m:oMath>
      <w:r>
        <w:t xml:space="preserve">1.93 consensus). Full-year 2026 consensus sits near</w:t>
      </w:r>
      <w:r>
        <w:t xml:space="preserve"> </w:t>
      </w:r>
      <w:r>
        <w:rPr>
          <w:b/>
          <w:bCs/>
        </w:rPr>
        <w:t xml:space="preserve">$8.66</w:t>
      </w:r>
      <w:r>
        <w:t xml:space="preserve">, implying high-single-digit EPS growth.</w:t>
      </w:r>
    </w:p>
    <w:p>
      <w:pPr>
        <w:pStyle w:val="BlockText"/>
      </w:pPr>
      <w:r>
        <w:t xml:space="preserve">⚠️</w:t>
      </w:r>
      <w:r>
        <w:t xml:space="preserve"> </w:t>
      </w:r>
      <w:r>
        <w:rPr>
          <w:b/>
          <w:bCs/>
        </w:rPr>
        <w:t xml:space="preserve">Note on the GAAP headline:</w:t>
      </w:r>
      <w:r>
        <w:t xml:space="preserve"> </w:t>
      </w:r>
      <w:r>
        <w:t xml:space="preserve">CINF's net income is dominated by mark-to-market swings on its ~</w:t>
      </w:r>
      <w:r>
        <w:t xml:space="preserve">$12.6B equity portfolio (a byproduct of the accounting rule requiring unrealized equity gains/losses to flow through the P&amp;L). A year ago, Q2 2025 net income was **$</w:t>
      </w:r>
      <w:r>
        <w:t xml:space="preserve">4.34/share** — but $2.37 of that was after-tax investment gains.</w:t>
      </w:r>
      <w:r>
        <w:t xml:space="preserve"> </w:t>
      </w:r>
      <w:r>
        <w:rPr>
          <w:b/>
          <w:bCs/>
        </w:rPr>
        <w:t xml:space="preserve">Focus on non-GAAP operating EPS and the combined ratio</w:t>
      </w:r>
      <w:r>
        <w:t xml:space="preserve">, not the GAAP headline.</w:t>
      </w:r>
    </w:p>
    <w:p>
      <w:r>
        <w:pict>
          <v:rect style="width:0;height:1.5pt" o:hralign="center" o:hrstd="t" o:hr="t"/>
        </w:pict>
      </w:r>
    </w:p>
    <w:bookmarkEnd w:id="10"/>
    <w:bookmarkStart w:id="19" w:name="what-actually-matters-this-quarter"/>
    <w:p>
      <w:pPr>
        <w:pStyle w:val="Heading2"/>
      </w:pPr>
      <w:r>
        <w:t xml:space="preserve">What Actually Matters This Quarter</w:t>
      </w:r>
    </w:p>
    <w:bookmarkStart w:id="11" w:name="X8198bf8858670616b93826728411f41fe52b722"/>
    <w:p>
      <w:pPr>
        <w:pStyle w:val="Heading3"/>
      </w:pPr>
      <w:r>
        <w:t xml:space="preserve">1. Catastrophe losses — the seasonal swing factor</w:t>
      </w:r>
    </w:p>
    <w:p>
      <w:pPr>
        <w:pStyle w:val="FirstParagraph"/>
      </w:pPr>
      <w:r>
        <w:t xml:space="preserve">Q2 is structurally CINF's heaviest catastrophe quarter (spring/summer convective storms, hail, tornadoes). Last year's Q2 carried</w:t>
      </w:r>
      <w:r>
        <w:t xml:space="preserve"> </w:t>
      </w:r>
      <w:r>
        <w:rPr>
          <w:b/>
          <w:bCs/>
        </w:rPr>
        <w:t xml:space="preserve">12.4 points of cat losses</w:t>
      </w:r>
      <w:r>
        <w:t xml:space="preserve"> </w:t>
      </w:r>
      <w:r>
        <w:t xml:space="preserve">— management cited</w:t>
      </w:r>
      <w:r>
        <w:t xml:space="preserve"> </w:t>
      </w:r>
      <w:r>
        <w:rPr>
          <w:b/>
          <w:bCs/>
        </w:rPr>
        <w:t xml:space="preserve">20 declared catastrophes</w:t>
      </w:r>
      <w:r>
        <w:t xml:space="preserve"> </w:t>
      </w:r>
      <w:r>
        <w:t xml:space="preserve">in April–June 2025 including the Texas floods, and paid over half a billion in cat claims in 1H25. This is the single biggest source of variance versus consensus. Watch:</w:t>
      </w:r>
    </w:p>
    <w:p>
      <w:pPr>
        <w:pStyle w:val="Compact"/>
        <w:numPr>
          <w:ilvl w:val="0"/>
          <w:numId w:val="1001"/>
        </w:numPr>
      </w:pPr>
      <w:r>
        <w:t xml:space="preserve">Total cat load vs. the ~12-point year-ago level</w:t>
      </w:r>
    </w:p>
    <w:p>
      <w:pPr>
        <w:pStyle w:val="Compact"/>
        <w:numPr>
          <w:ilvl w:val="0"/>
          <w:numId w:val="1001"/>
        </w:numPr>
      </w:pPr>
      <w:r>
        <w:rPr>
          <w:b/>
          <w:bCs/>
        </w:rPr>
        <w:t xml:space="preserve">Personal Lines</w:t>
      </w:r>
      <w:r>
        <w:t xml:space="preserve"> </w:t>
      </w:r>
      <w:r>
        <w:t xml:space="preserve">cat concentration (was</w:t>
      </w:r>
      <w:r>
        <w:t xml:space="preserve"> </w:t>
      </w:r>
      <w:r>
        <w:rPr>
          <w:b/>
          <w:bCs/>
        </w:rPr>
        <w:t xml:space="preserve">25.4 pts</w:t>
      </w:r>
      <w:r>
        <w:t xml:space="preserve"> </w:t>
      </w:r>
      <w:r>
        <w:t xml:space="preserve">of that segment's loss ratio in Q2 2025)</w:t>
      </w:r>
    </w:p>
    <w:p>
      <w:pPr>
        <w:pStyle w:val="Compact"/>
        <w:numPr>
          <w:ilvl w:val="0"/>
          <w:numId w:val="1001"/>
        </w:numPr>
      </w:pPr>
      <w:r>
        <w:t xml:space="preserve">Any incremental commentary on California wildfire-related reinsurance/reinstatement dynamics</w:t>
      </w:r>
    </w:p>
    <w:bookmarkEnd w:id="11"/>
    <w:bookmarkStart w:id="12" w:name="Xf91a7afb75d8d1d41ad581e56acb744cb283ccb"/>
    <w:p>
      <w:pPr>
        <w:pStyle w:val="Heading3"/>
      </w:pPr>
      <w:r>
        <w:t xml:space="preserve">2. The underlying (ex-cat) accident-year combined ratio — the real signal</w:t>
      </w:r>
    </w:p>
    <w:p>
      <w:pPr>
        <w:pStyle w:val="FirstParagraph"/>
      </w:pPr>
      <w:r>
        <w:t xml:space="preserve">Strip out weather and this is where you see the health of the book. The trend is genuinely encouraging: the consolidated</w:t>
      </w:r>
      <w:r>
        <w:t xml:space="preserve"> </w:t>
      </w:r>
      <w:r>
        <w:rPr>
          <w:b/>
          <w:bCs/>
        </w:rPr>
        <w:t xml:space="preserve">ex-cat accident-year combined ratio was 87.5% in Q1 2026, ~3 points better YoY</w:t>
      </w:r>
      <w:r>
        <w:t xml:space="preserve">, and was</w:t>
      </w:r>
      <w:r>
        <w:t xml:space="preserve"> </w:t>
      </w:r>
      <w:r>
        <w:rPr>
          <w:b/>
          <w:bCs/>
        </w:rPr>
        <w:t xml:space="preserve">85.1% in Q2 2025</w:t>
      </w:r>
      <w:r>
        <w:t xml:space="preserve">. Management explicitly attributes this to pricing segmentation and risk selection.</w:t>
      </w:r>
      <w:r>
        <w:t xml:space="preserve"> </w:t>
      </w:r>
      <w:r>
        <w:rPr>
          <w:b/>
          <w:bCs/>
        </w:rPr>
        <w:t xml:space="preserve">A sub-86% underlying combined ratio would reinforce the bull case; drift higher would raise questions given softening rate.</w:t>
      </w:r>
    </w:p>
    <w:bookmarkEnd w:id="12"/>
    <w:bookmarkStart w:id="13" w:name="X2ea7096509c942e45098130dee6db0175da66cd"/>
    <w:p>
      <w:pPr>
        <w:pStyle w:val="Heading3"/>
      </w:pPr>
      <w:r>
        <w:t xml:space="preserve">3. Commercial Lines pricing — the key debate</w:t>
      </w:r>
    </w:p>
    <w:p>
      <w:pPr>
        <w:pStyle w:val="FirstParagraph"/>
      </w:pPr>
      <w:r>
        <w:t xml:space="preserve">This is the most contested part of the story. On the Q1 call, CEO Steve Spray flagged that commercial rate had decelerated to the</w:t>
      </w:r>
      <w:r>
        <w:t xml:space="preserve"> </w:t>
      </w:r>
      <w:r>
        <w:rPr>
          <w:b/>
          <w:bCs/>
        </w:rPr>
        <w:t xml:space="preserve">"high end of the low-single-digit range"</w:t>
      </w:r>
      <w:r>
        <w:t xml:space="preserve"> </w:t>
      </w:r>
      <w:r>
        <w:t xml:space="preserve">(casualty mid-single-digit), and openly acknowledged pricing power is</w:t>
      </w:r>
      <w:r>
        <w:t xml:space="preserve"> </w:t>
      </w:r>
      <w:r>
        <w:rPr>
          <w:b/>
          <w:bCs/>
        </w:rPr>
        <w:t xml:space="preserve">"biased downwards"</w:t>
      </w:r>
      <w:r>
        <w:t xml:space="preserve"> </w:t>
      </w:r>
      <w:r>
        <w:t xml:space="preserve">with the most pressure on</w:t>
      </w:r>
      <w:r>
        <w:t xml:space="preserve"> </w:t>
      </w:r>
      <w:r>
        <w:rPr>
          <w:b/>
          <w:bCs/>
        </w:rPr>
        <w:t xml:space="preserve">large accounts and commercial property</w:t>
      </w:r>
      <w:r>
        <w:t xml:space="preserve">. Q1 commercial NWP grew just</w:t>
      </w:r>
      <w:r>
        <w:t xml:space="preserve"> </w:t>
      </w:r>
      <w:r>
        <w:rPr>
          <w:b/>
          <w:bCs/>
        </w:rPr>
        <w:t xml:space="preserve">3%</w:t>
      </w:r>
      <w:r>
        <w:t xml:space="preserve"> </w:t>
      </w:r>
      <w:r>
        <w:t xml:space="preserve">and the segment combined ratio ran</w:t>
      </w:r>
      <w:r>
        <w:t xml:space="preserve"> </w:t>
      </w:r>
      <w:r>
        <w:rPr>
          <w:b/>
          <w:bCs/>
        </w:rPr>
        <w:t xml:space="preserve">98.6%</w:t>
      </w:r>
      <w:r>
        <w:t xml:space="preserve"> </w:t>
      </w:r>
      <w:r>
        <w:t xml:space="preserve">(cat-inflated). Watch for:</w:t>
      </w:r>
    </w:p>
    <w:p>
      <w:pPr>
        <w:pStyle w:val="Compact"/>
        <w:numPr>
          <w:ilvl w:val="0"/>
          <w:numId w:val="1002"/>
        </w:numPr>
      </w:pPr>
      <w:r>
        <w:t xml:space="preserve">Whether renewal rate stabilizes or decelerates further</w:t>
      </w:r>
    </w:p>
    <w:p>
      <w:pPr>
        <w:pStyle w:val="Compact"/>
        <w:numPr>
          <w:ilvl w:val="0"/>
          <w:numId w:val="1002"/>
        </w:numPr>
      </w:pPr>
      <w:r>
        <w:t xml:space="preserve">Whether CINF is willing to shed premium/retention on large accounts to protect margins (they signaled willingness to)</w:t>
      </w:r>
    </w:p>
    <w:p>
      <w:pPr>
        <w:pStyle w:val="Compact"/>
        <w:numPr>
          <w:ilvl w:val="0"/>
          <w:numId w:val="1002"/>
        </w:numPr>
      </w:pPr>
      <w:r>
        <w:t xml:space="preserve">Commentary on</w:t>
      </w:r>
      <w:r>
        <w:t xml:space="preserve"> </w:t>
      </w:r>
      <w:r>
        <w:rPr>
          <w:b/>
          <w:bCs/>
        </w:rPr>
        <w:t xml:space="preserve">casualty loss trend vs. rate</w:t>
      </w:r>
      <w:r>
        <w:t xml:space="preserve"> </w:t>
      </w:r>
      <w:r>
        <w:t xml:space="preserve">— i.e., whether rate is still keeping pace with social inflation</w:t>
      </w:r>
    </w:p>
    <w:bookmarkEnd w:id="13"/>
    <w:bookmarkStart w:id="14" w:name="X25f3dc1b3516253cafb7999cfac9db40349410c"/>
    <w:p>
      <w:pPr>
        <w:pStyle w:val="Heading3"/>
      </w:pPr>
      <w:r>
        <w:t xml:space="preserve">4. Growth is normalizing — is that a feature or a worry?</w:t>
      </w:r>
    </w:p>
    <w:p>
      <w:pPr>
        <w:pStyle w:val="FirstParagraph"/>
      </w:pPr>
      <w:r>
        <w:t xml:space="preserve">CINF doubled its book from ~</w:t>
      </w:r>
      <m:oMath>
        <m:r>
          <m:t>5</m:t>
        </m:r>
        <m:r>
          <m:t>B</m:t>
        </m:r>
        <m:r>
          <m:t>t</m:t>
        </m:r>
        <m:r>
          <m:t>o</m:t>
        </m:r>
        <m:r>
          <m:rPr>
            <m:sty m:val="p"/>
          </m:rPr>
          <m:t>&gt;</m:t>
        </m:r>
      </m:oMath>
      <w:r>
        <w:t xml:space="preserve">10B of NWP over seven years, riding the hard market. That tailwind is fading. Consolidated NWP grew</w:t>
      </w:r>
      <w:r>
        <w:t xml:space="preserve"> </w:t>
      </w:r>
      <w:r>
        <w:rPr>
          <w:b/>
          <w:bCs/>
        </w:rPr>
        <w:t xml:space="preserve">7% in Q1 2026</w:t>
      </w:r>
      <w:r>
        <w:t xml:space="preserve"> </w:t>
      </w:r>
      <w:r>
        <w:t xml:space="preserve">(vs.</w:t>
      </w:r>
      <w:r>
        <w:t xml:space="preserve"> </w:t>
      </w:r>
      <w:r>
        <w:rPr>
          <w:b/>
          <w:bCs/>
        </w:rPr>
        <w:t xml:space="preserve">11%</w:t>
      </w:r>
      <w:r>
        <w:t xml:space="preserve"> </w:t>
      </w:r>
      <w:r>
        <w:t xml:space="preserve">in each quarter of 2025), and</w:t>
      </w:r>
      <w:r>
        <w:t xml:space="preserve"> </w:t>
      </w:r>
      <w:r>
        <w:rPr>
          <w:b/>
          <w:bCs/>
        </w:rPr>
        <w:t xml:space="preserve">new business fell 11%</w:t>
      </w:r>
      <w:r>
        <w:t xml:space="preserve">, driven by a</w:t>
      </w:r>
      <w:r>
        <w:t xml:space="preserve"> </w:t>
      </w:r>
      <w:r>
        <w:rPr>
          <w:b/>
          <w:bCs/>
        </w:rPr>
        <w:t xml:space="preserve">40% drop in Personal Lines new business</w:t>
      </w:r>
      <w:r>
        <w:t xml:space="preserve">. Management frames this as a deliberate return to discipline as markets soften and as they digest the California pullback. Look for:</w:t>
      </w:r>
    </w:p>
    <w:p>
      <w:pPr>
        <w:pStyle w:val="Compact"/>
        <w:numPr>
          <w:ilvl w:val="0"/>
          <w:numId w:val="1003"/>
        </w:numPr>
      </w:pPr>
      <w:r>
        <w:t xml:space="preserve">NWP growth (year-ago Q2 was +11%) and whether new-business declines moderate</w:t>
      </w:r>
    </w:p>
    <w:p>
      <w:pPr>
        <w:pStyle w:val="Compact"/>
        <w:numPr>
          <w:ilvl w:val="0"/>
          <w:numId w:val="1003"/>
        </w:numPr>
      </w:pPr>
      <w:r>
        <w:t xml:space="preserve">Agency appointments (108 in Q1 alone) and new-product/E&amp;S expansion as offsets</w:t>
      </w:r>
    </w:p>
    <w:bookmarkEnd w:id="14"/>
    <w:bookmarkStart w:id="15" w:name="X14b8308ccc3868ec2752ec4327740b3b9fd9938"/>
    <w:p>
      <w:pPr>
        <w:pStyle w:val="Heading3"/>
      </w:pPr>
      <w:r>
        <w:t xml:space="preserve">5. Personal Lines &amp; Cincinnati Private Client</w:t>
      </w:r>
    </w:p>
    <w:p>
      <w:pPr>
        <w:pStyle w:val="FirstParagraph"/>
      </w:pPr>
      <w:r>
        <w:t xml:space="preserve">Personal Lines has been the volatile engine — hammered by cats in early 2025 (Q1 2025 combined ratio was a startling</w:t>
      </w:r>
      <w:r>
        <w:t xml:space="preserve"> </w:t>
      </w:r>
      <w:r>
        <w:rPr>
          <w:b/>
          <w:bCs/>
        </w:rPr>
        <w:t xml:space="preserve">151.3%</w:t>
      </w:r>
      <w:r>
        <w:t xml:space="preserve"> </w:t>
      </w:r>
      <w:r>
        <w:t xml:space="preserve">on the California wildfires) but rebounding to</w:t>
      </w:r>
      <w:r>
        <w:t xml:space="preserve"> </w:t>
      </w:r>
      <w:r>
        <w:rPr>
          <w:b/>
          <w:bCs/>
        </w:rPr>
        <w:t xml:space="preserve">96.8%</w:t>
      </w:r>
      <w:r>
        <w:t xml:space="preserve"> </w:t>
      </w:r>
      <w:r>
        <w:t xml:space="preserve">in Q1 2026. Growth is increasingly rate-and-high-net-worth driven:</w:t>
      </w:r>
      <w:r>
        <w:t xml:space="preserve"> </w:t>
      </w:r>
      <w:r>
        <w:rPr>
          <w:b/>
          <w:bCs/>
        </w:rPr>
        <w:t xml:space="preserve">Cincinnati Private Client</w:t>
      </w:r>
      <w:r>
        <w:t xml:space="preserve"> </w:t>
      </w:r>
      <w:r>
        <w:t xml:space="preserve">NWP reached</w:t>
      </w:r>
      <w:r>
        <w:t xml:space="preserve"> </w:t>
      </w:r>
      <w:r>
        <w:rPr>
          <w:b/>
          <w:bCs/>
        </w:rPr>
        <w:t xml:space="preserve">$592M (+25%)</w:t>
      </w:r>
      <w:r>
        <w:t xml:space="preserve"> </w:t>
      </w:r>
      <w:r>
        <w:t xml:space="preserve">in Q2 2025. Watch homeowner rate (high-single-digit in Q1), California E&amp;S dynamics/competition, and the umbrella book.</w:t>
      </w:r>
    </w:p>
    <w:bookmarkEnd w:id="15"/>
    <w:bookmarkStart w:id="16" w:name="X9381a90a2b9b6c706ba1a0903ff32cef87b9f80"/>
    <w:p>
      <w:pPr>
        <w:pStyle w:val="Heading3"/>
      </w:pPr>
      <w:r>
        <w:t xml:space="preserve">6. Reserves &amp; social inflation</w:t>
      </w:r>
    </w:p>
    <w:p>
      <w:pPr>
        <w:pStyle w:val="FirstParagraph"/>
      </w:pPr>
      <w:r>
        <w:t xml:space="preserve">CINF has posted favorable prior-year development for several consecutive quarters (</w:t>
      </w:r>
      <w:r>
        <w:rPr>
          <w:b/>
          <w:bCs/>
        </w:rPr>
        <w:t xml:space="preserve">+</w:t>
      </w:r>
      <m:oMath>
        <m:r>
          <m:t>81</m:t>
        </m:r>
        <m:r>
          <m:t>M</m:t>
        </m:r>
        <m:r>
          <m:rPr>
            <m:sty m:val="p"/>
          </m:rPr>
          <m:t>/</m:t>
        </m:r>
        <m:r>
          <m:t>3.2</m:t>
        </m:r>
        <m:r>
          <m:t>p</m:t>
        </m:r>
        <m:r>
          <m:t>t</m:t>
        </m:r>
        <m:r>
          <m:t>s</m:t>
        </m:r>
        <m:r>
          <m:rPr>
            <m:sty m:val="p"/>
          </m:rPr>
          <m:t>*</m:t>
        </m:r>
        <m:r>
          <m:rPr>
            <m:sty m:val="p"/>
          </m:rPr>
          <m:t>*</m:t>
        </m:r>
        <m:r>
          <m:t>i</m:t>
        </m:r>
        <m:r>
          <m:t>n</m:t>
        </m:r>
        <m:r>
          <m:t>Q</m:t>
        </m:r>
        <m:r>
          <m:t>1</m:t>
        </m:r>
        <m:r>
          <m:t>2026</m:t>
        </m:r>
        <m:r>
          <m:rPr>
            <m:sty m:val="p"/>
          </m:rPr>
          <m:t>;</m:t>
        </m:r>
        <m:r>
          <m:rPr>
            <m:sty m:val="p"/>
          </m:rPr>
          <m:t>*</m:t>
        </m:r>
        <m:r>
          <m:rPr>
            <m:sty m:val="p"/>
          </m:rPr>
          <m:t>*</m:t>
        </m:r>
        <m:r>
          <m:rPr>
            <m:sty m:val="p"/>
          </m:rPr>
          <m:t>+</m:t>
        </m:r>
      </m:oMath>
      <w:r>
        <w:rPr>
          <w:b/>
          <w:bCs/>
        </w:rPr>
        <w:t xml:space="preserve">63M / 2.6 pts</w:t>
      </w:r>
      <w:r>
        <w:t xml:space="preserve"> </w:t>
      </w:r>
      <w:r>
        <w:t xml:space="preserve">in Q2 2025). Management is careful to say they are</w:t>
      </w:r>
      <w:r>
        <w:t xml:space="preserve"> </w:t>
      </w:r>
      <w:r>
        <w:rPr>
          <w:b/>
          <w:bCs/>
        </w:rPr>
        <w:t xml:space="preserve">"not out of the woods"</w:t>
      </w:r>
      <w:r>
        <w:t xml:space="preserve"> </w:t>
      </w:r>
      <w:r>
        <w:t xml:space="preserve">on legal system abuse / social inflation in commercial casualty and commercial auto. Any change in reserve development direction — especially in casualty — would be a red flag worth more than the headline EPS.</w:t>
      </w:r>
    </w:p>
    <w:p>
      <w:pPr>
        <w:pStyle w:val="BlockText"/>
      </w:pPr>
      <w:r>
        <w:t xml:space="preserve">Note: The 10-Q carried a qualifier that 2026 results</w:t>
      </w:r>
      <w:r>
        <w:t xml:space="preserve"> </w:t>
      </w:r>
      <w:r>
        <w:rPr>
          <w:i/>
          <w:iCs/>
        </w:rPr>
        <w:t xml:space="preserve">could</w:t>
      </w:r>
      <w:r>
        <w:t xml:space="preserve"> </w:t>
      </w:r>
      <w:r>
        <w:t xml:space="preserve">fall below the long-term 92–98% combined-ratio target range; management downplayed it as prudence amid softening rate, not a specific concern.</w:t>
      </w:r>
    </w:p>
    <w:bookmarkEnd w:id="16"/>
    <w:bookmarkStart w:id="17" w:name="Xf9b13dce9999afaeea2194b65d9f9b0de097e47"/>
    <w:p>
      <w:pPr>
        <w:pStyle w:val="Heading3"/>
      </w:pPr>
      <w:r>
        <w:t xml:space="preserve">7. Investment income — the reliable bright spot</w:t>
      </w:r>
    </w:p>
    <w:p>
      <w:pPr>
        <w:pStyle w:val="FirstParagraph"/>
      </w:pPr>
      <w:r>
        <w:t xml:space="preserve">The higher-rate environment continues to compound. Q1 2026 pretax investment income rose</w:t>
      </w:r>
      <w:r>
        <w:t xml:space="preserve"> </w:t>
      </w:r>
      <w:r>
        <w:rPr>
          <w:b/>
          <w:bCs/>
        </w:rPr>
        <w:t xml:space="preserve">14% to $318M</w:t>
      </w:r>
      <w:r>
        <w:t xml:space="preserve"> </w:t>
      </w:r>
      <w:r>
        <w:t xml:space="preserve">(bond interest +12%, dividends +13%), with the fixed-maturity book yielding</w:t>
      </w:r>
      <w:r>
        <w:t xml:space="preserve"> </w:t>
      </w:r>
      <w:r>
        <w:rPr>
          <w:b/>
          <w:bCs/>
        </w:rPr>
        <w:t xml:space="preserve">5.02%</w:t>
      </w:r>
      <w:r>
        <w:t xml:space="preserve"> </w:t>
      </w:r>
      <w:r>
        <w:t xml:space="preserve">and new-money yields near</w:t>
      </w:r>
      <w:r>
        <w:t xml:space="preserve"> </w:t>
      </w:r>
      <w:r>
        <w:rPr>
          <w:b/>
          <w:bCs/>
        </w:rPr>
        <w:t xml:space="preserve">5.37%</w:t>
      </w:r>
      <w:r>
        <w:t xml:space="preserve">. Year-ago Q2 grew 18%. With strong operating cash flow funding net bond purchases, this line should keep growing double digits and provides ballast against underwriting volatility.</w:t>
      </w:r>
    </w:p>
    <w:bookmarkEnd w:id="17"/>
    <w:bookmarkStart w:id="18" w:name="Xdde57c8125c818cc475c7e545c7ab05ec02d6b9"/>
    <w:p>
      <w:pPr>
        <w:pStyle w:val="Heading3"/>
      </w:pPr>
      <w:r>
        <w:t xml:space="preserve">8. Capital return &amp; book value</w:t>
      </w:r>
    </w:p>
    <w:p>
      <w:pPr>
        <w:pStyle w:val="Compact"/>
        <w:numPr>
          <w:ilvl w:val="0"/>
          <w:numId w:val="1004"/>
        </w:numPr>
      </w:pPr>
      <w:r>
        <w:rPr>
          <w:b/>
          <w:bCs/>
        </w:rPr>
        <w:t xml:space="preserve">Book value:</w:t>
      </w:r>
      <w:r>
        <w:t xml:space="preserve"> </w:t>
      </w:r>
      <w:r>
        <w:t xml:space="preserve">$101.60 at Q1 (down slightly QoQ on bond/equity marks); the</w:t>
      </w:r>
      <w:r>
        <w:t xml:space="preserve"> </w:t>
      </w:r>
      <w:r>
        <w:rPr>
          <w:b/>
          <w:bCs/>
        </w:rPr>
        <w:t xml:space="preserve">value creation ratio</w:t>
      </w:r>
      <w:r>
        <w:t xml:space="preserve"> </w:t>
      </w:r>
      <w:r>
        <w:t xml:space="preserve">(BV growth + dividends) is CINF's north-star metric — 0.2% in Q1, 4.6% in 1H25. A benign cat quarter plus favorable marks could drive a strong VCR print.</w:t>
      </w:r>
    </w:p>
    <w:p>
      <w:pPr>
        <w:pStyle w:val="Compact"/>
        <w:numPr>
          <w:ilvl w:val="0"/>
          <w:numId w:val="1004"/>
        </w:numPr>
      </w:pPr>
      <w:r>
        <w:rPr>
          <w:b/>
          <w:bCs/>
        </w:rPr>
        <w:t xml:space="preserve">Buybacks:</w:t>
      </w:r>
      <w:r>
        <w:t xml:space="preserve"> </w:t>
      </w:r>
      <w:r>
        <w:t xml:space="preserve">Q1 repurchases (~1.1M shares @ ~$165) were elevated ("maintenance plus"); with the stock now well above that level, watch whether they stay active.</w:t>
      </w:r>
    </w:p>
    <w:p>
      <w:pPr>
        <w:pStyle w:val="Compact"/>
        <w:numPr>
          <w:ilvl w:val="0"/>
          <w:numId w:val="1004"/>
        </w:numPr>
      </w:pPr>
      <w:r>
        <w:rPr>
          <w:b/>
          <w:bCs/>
        </w:rPr>
        <w:t xml:space="preserve">Balance sheet:</w:t>
      </w:r>
      <w:r>
        <w:t xml:space="preserve"> </w:t>
      </w:r>
      <w:r>
        <w:t xml:space="preserve">debt-to-cap under 5%, ~$5.6B parent-company liquidity, A+ (A.M. Best affirmed) — plenty of firepower.</w:t>
      </w:r>
    </w:p>
    <w:p>
      <w:r>
        <w:pict>
          <v:rect style="width:0;height:1.5pt" o:hralign="center" o:hrstd="t" o:hr="t"/>
        </w:pict>
      </w:r>
    </w:p>
    <w:bookmarkEnd w:id="18"/>
    <w:bookmarkEnd w:id="19"/>
    <w:bookmarkStart w:id="20" w:name="bottom-line"/>
    <w:p>
      <w:pPr>
        <w:pStyle w:val="Heading2"/>
      </w:pPr>
      <w:r>
        <w:t xml:space="preserve">Bottom Line</w:t>
      </w:r>
    </w:p>
    <w:p>
      <w:pPr>
        <w:pStyle w:val="FirstParagraph"/>
      </w:pPr>
      <w:r>
        <w:t xml:space="preserve">The most likely narrative:</w:t>
      </w:r>
      <w:r>
        <w:t xml:space="preserve"> </w:t>
      </w:r>
      <w:r>
        <w:rPr>
          <w:b/>
          <w:bCs/>
        </w:rPr>
        <w:t xml:space="preserve">operating EPS down modestly YoY on a tough comp and softer commercial rate, but with a solid underlying (ex-cat) combined ratio and double-digit investment-income growth intact.</w:t>
      </w:r>
      <w:r>
        <w:t xml:space="preserve"> </w:t>
      </w:r>
      <w:r>
        <w:t xml:space="preserve">The swing factor is Q2 catastrophes — the quarter where weather can turn a good print into a miss (or vice versa).</w:t>
      </w:r>
    </w:p>
    <w:p>
      <w:pPr>
        <w:pStyle w:val="BodyText"/>
      </w:pPr>
      <w:r>
        <w:rPr>
          <w:b/>
          <w:bCs/>
        </w:rPr>
        <w:t xml:space="preserve">Bull case checkpoints:</w:t>
      </w:r>
      <w:r>
        <w:t xml:space="preserve"> </w:t>
      </w:r>
      <w:r>
        <w:t xml:space="preserve">ex-cat AY combined ratio holds sub-86%; cat load comes in below the ~12-point norm; investment income up double digits; continued favorable reserve development; VCR/book value expansion.</w:t>
      </w:r>
    </w:p>
    <w:p>
      <w:pPr>
        <w:pStyle w:val="BodyText"/>
      </w:pPr>
      <w:r>
        <w:rPr>
          <w:b/>
          <w:bCs/>
        </w:rPr>
        <w:t xml:space="preserve">Bear/risk checkpoints:</w:t>
      </w:r>
      <w:r>
        <w:t xml:space="preserve"> </w:t>
      </w:r>
      <w:r>
        <w:t xml:space="preserve">commercial rate decelerating faster than loss trend improves; new-business declines deepening beyond deliberate discipline; any casualty reserve wobble tied to social inflation; an outsized cat quarter.</w:t>
      </w:r>
    </w:p>
    <w:p>
      <w:pPr>
        <w:pStyle w:val="BodyText"/>
      </w:pPr>
      <w:r>
        <w:t xml:space="preserve">Given the stock's run to ~1.8x book and near 52-week highs, the risk/reward skews toward "priced for good news" — a clean underlying beat is likely needed to sustain the multiple, while a cat-driven or rate-driven disappointment could prompt profit-taking.</w:t>
      </w:r>
    </w:p>
    <w:p>
      <w:pPr>
        <w:pStyle w:val="BodyText"/>
      </w:pPr>
      <w:r>
        <w:rPr>
          <w:i/>
          <w:iCs/>
        </w:rPr>
        <w:t xml:space="preserve">(Housekeeping: longtime IR head Dennis McDaniel is retiring — expect a transition acknowledgment. This will also be the first call framing full-year progress against management's reiterated 92–98% long-term combined-ratio target.)</w:t>
      </w:r>
    </w:p>
    <w:p>
      <w:r>
        <w:pict>
          <v:rect style="width:0;height:1.5pt" o:hralign="center" o:hrstd="t" o:hr="t"/>
        </w:pict>
      </w:r>
    </w:p>
    <w:p>
      <w:pPr>
        <w:pStyle w:val="FirstParagraph"/>
      </w:pPr>
      <w:r>
        <w:rPr>
          <w:i/>
          <w:iCs/>
        </w:rPr>
        <w:t xml:space="preserve">Preview based on CINF's Q1 2026 and Q2 2025 earnings releases and the Q1 2026 conference call, plus market/consensus data. All forward references are analytical; verify against the company's actual release and any updated consensus.</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2026-07-27T00:53:58Z</dcterms:created>
  <dcterms:modified xsi:type="dcterms:W3CDTF">2026-07-27T00:53:58Z</dcterms:modified>
</cp:coreProperties>
</file>

<file path=docProps/custom.xml><?xml version="1.0" encoding="utf-8"?>
<Properties xmlns="http://schemas.openxmlformats.org/officeDocument/2006/custom-properties" xmlns:vt="http://schemas.openxmlformats.org/officeDocument/2006/docPropsVTypes"/>
</file>