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 vs. cons $1.82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~95.5% vs. cons ~94.0%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Written Premium Growth (Q2'26 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~5.0% vs. cons ~6.5%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Combined Ratio Target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~96% vs. cons ~95%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Lines Renewal Pricing Trend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~2% vs. cons ~3%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~1.0M shares vs. cons ~0.8M shares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-2.3% (FOLLOW-THROUGH)</w:t>
            </w:r>
          </w:p>
        </w:tc>
        <w:tc>
          <w:tcPr/>
          <w:p>
            <w:pPr>
              <w:pStyle w:val="Compact"/>
            </w:pPr>
            <w:r>
              <w:t xml:space="preserve">A likely cat-driven combined-ratio miss and further confirmation of commercial/personal/E&amp;S pricing deceleration should push sell-side to trim FY2026 EPS and combined-ratio estimates even after an EPS beat, since the EPS beat is lower-quality (investment income/tax, not underwriting) while premium growth and margin trajectory both point to negative out-period revisions; with the stock having already re-rated to ~1.8x book on a hot run into the print, disappointment on growth/margin quality plus reiterated 92-98% target caution should extend the initial negative reaction over the following days rather than reverse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2026-07-27T00:15:16Z</dcterms:created>
  <dcterms:modified xsi:type="dcterms:W3CDTF">2026-07-27T00:15:16Z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