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2cd95e98b4443726a2c7466ea99b457ad4e5b9"/>
    <w:p>
      <w:pPr>
        <w:pStyle w:val="Heading1"/>
      </w:pPr>
      <w:r>
        <w:t xml:space="preserve">Cincinnati Financial Corporation (CINF) — Q2 2026 Earnings Preview</w:t>
      </w:r>
    </w:p>
    <w:p>
      <w:pPr>
        <w:pStyle w:val="FirstParagraph"/>
      </w:pPr>
      <w:r>
        <w:rPr>
          <w:b/>
          <w:bCs/>
        </w:rPr>
        <w:t xml:space="preserve">Report Date:</w:t>
      </w:r>
      <w:r>
        <w:t xml:space="preserve"> </w:t>
      </w:r>
      <w:r>
        <w:t xml:space="preserve">Monday, July 27, 2026 (after market close) |</w:t>
      </w:r>
      <w:r>
        <w:t xml:space="preserve"> </w:t>
      </w:r>
      <w:r>
        <w:rPr>
          <w:b/>
          <w:bCs/>
        </w:rPr>
        <w:t xml:space="preserve">Call:</w:t>
      </w:r>
      <w:r>
        <w:t xml:space="preserve"> </w:t>
      </w:r>
      <w:r>
        <w:t xml:space="preserve">2026Q2 Earnings Call</w:t>
      </w:r>
      <w:r>
        <w:t xml:space="preserve"> </w:t>
      </w:r>
      <w:r>
        <w:rPr>
          <w:b/>
          <w:bCs/>
        </w:rPr>
        <w:t xml:space="preserve">Current Price:</w:t>
      </w:r>
      <w:r>
        <w:t xml:space="preserve"> </w:t>
      </w:r>
      <w:r>
        <w:t xml:space="preserve">~$182–183 (July 24 close) |</w:t>
      </w:r>
      <w:r>
        <w:t xml:space="preserve"> </w:t>
      </w:r>
      <w:r>
        <w:rPr>
          <w:b/>
          <w:bCs/>
        </w:rPr>
        <w:t xml:space="preserve">Q1'26 Book Value/Share:</w:t>
      </w:r>
      <w:r>
        <w:t xml:space="preserve"> </w:t>
      </w:r>
      <w:r>
        <w:t xml:space="preserve">$101.60 |</w:t>
      </w:r>
      <w:r>
        <w:t xml:space="preserve"> </w:t>
      </w:r>
      <w:r>
        <w:rPr>
          <w:b/>
          <w:bCs/>
        </w:rPr>
        <w:t xml:space="preserve">Implied Price/Book:</w:t>
      </w:r>
      <w:r>
        <w:t xml:space="preserve"> </w:t>
      </w:r>
      <w:r>
        <w:t xml:space="preserve">~1.8x</w:t>
      </w:r>
    </w:p>
    <w:p>
      <w:r>
        <w:pict>
          <v:rect style="width:0;height:1.5pt" o:hralign="center" o:hrstd="t" o:hr="t"/>
        </w:pict>
      </w:r>
    </w:p>
    <w:bookmarkStart w:id="9" w:name="X340611ab981650f1d64c78ce49edfd22d9a6c03"/>
    <w:p>
      <w:pPr>
        <w:pStyle w:val="Heading2"/>
      </w:pPr>
      <w:r>
        <w:t xml:space="preserve">1. Setting the Stage</w:t>
      </w:r>
    </w:p>
    <w:p>
      <w:pPr>
        <w:pStyle w:val="FirstParagraph"/>
      </w:pPr>
      <w:r>
        <w:t xml:space="preserve">Cincinnati Financial enters its second-quarter report riding a strong 2026 so far. Shares have run from the mid-$150s in late May/early June to briefly above $190 in early July before settling back into the</w:t>
      </w:r>
      <w:r>
        <w:t xml:space="preserve"> </w:t>
      </w:r>
      <w:r>
        <w:t xml:space="preserve">$180s, a rally that tracked broadly positive sentiment across the P&amp;C sector after strong prints from peers Travelers and Chubb. Consensus estimates heading into the print call for roughly **$</w:t>
      </w:r>
      <w:r>
        <w:t xml:space="preserve">1.82 in EPS** on</w:t>
      </w:r>
      <w:r>
        <w:t xml:space="preserve"> </w:t>
      </w:r>
      <w:r>
        <w:rPr>
          <w:b/>
          <w:bCs/>
        </w:rPr>
        <w:t xml:space="preserve">~</w:t>
      </w:r>
      <w:r>
        <w:rPr>
          <w:b/>
          <w:bCs/>
        </w:rPr>
        <w:t xml:space="preserve">$2.7–3.0 billion of revenue**, with analysts having "generally reconfirmed their estimates over the last 30 days," according to sell-side previews, and an average price target near **$</w:t>
      </w:r>
      <w:r>
        <w:rPr>
          <w:b/>
          <w:bCs/>
        </w:rPr>
        <w:t xml:space="preserve">189</w:t>
      </w:r>
      <w:r>
        <w:t xml:space="preserve"> </w:t>
      </w:r>
      <w:r>
        <w:t xml:space="preserve">(versus the current share price), alongside a "Strong Buy" consensus rating from covering analysts.</w:t>
      </w:r>
    </w:p>
    <w:bookmarkEnd w:id="9"/>
    <w:bookmarkStart w:id="10" w:name="Xa8eac76875bf2763e5a412d1eb76a7a21ffdbdd"/>
    <w:p>
      <w:pPr>
        <w:pStyle w:val="Heading2"/>
      </w:pPr>
      <w:r>
        <w:t xml:space="preserve">2. What Q1 Told Us — The Setup</w:t>
      </w:r>
    </w:p>
    <w:p>
      <w:pPr>
        <w:pStyle w:val="FirstParagraph"/>
      </w:pPr>
      <w:r>
        <w:t xml:space="preserve">Cincinnati's first quarter was a clean beat-and-raise-the-narrative story: net income of</w:t>
      </w:r>
      <w:r>
        <w:t xml:space="preserve"> </w:t>
      </w:r>
      <m:oMath>
        <m:r>
          <m:t>274</m:t>
        </m:r>
        <m:r>
          <m:t>m</m:t>
        </m:r>
        <m:r>
          <m:t>i</m:t>
        </m:r>
        <m:r>
          <m:t>l</m:t>
        </m:r>
        <m:r>
          <m:t>l</m:t>
        </m:r>
        <m:r>
          <m:t>i</m:t>
        </m:r>
        <m:r>
          <m:t>o</m:t>
        </m:r>
        <m:r>
          <m:t>n</m:t>
        </m:r>
        <m:r>
          <m:rPr>
            <m:sty m:val="p"/>
          </m:rPr>
          <m:t>(</m:t>
        </m:r>
      </m:oMath>
      <w:r>
        <w:t xml:space="preserve">1.75/share) and non-GAAP operating income of</w:t>
      </w:r>
      <w:r>
        <w:t xml:space="preserve"> </w:t>
      </w:r>
      <m:oMath>
        <m:r>
          <m:t>330</m:t>
        </m:r>
        <m:r>
          <m:t>m</m:t>
        </m:r>
        <m:r>
          <m:t>i</m:t>
        </m:r>
        <m:r>
          <m:t>l</m:t>
        </m:r>
        <m:r>
          <m:t>l</m:t>
        </m:r>
        <m:r>
          <m:t>i</m:t>
        </m:r>
        <m:r>
          <m:t>o</m:t>
        </m:r>
        <m:r>
          <m:t>n</m:t>
        </m:r>
        <m:r>
          <m:rPr>
            <m:sty m:val="p"/>
          </m:rPr>
          <m:t>(</m:t>
        </m:r>
      </m:oMath>
      <w:r>
        <w:t xml:space="preserve">2.10/share) versus an operating</w:t>
      </w:r>
      <w:r>
        <w:t xml:space="preserve"> </w:t>
      </w:r>
      <w:r>
        <w:rPr>
          <w:b/>
          <w:bCs/>
        </w:rPr>
        <w:t xml:space="preserve">loss</w:t>
      </w:r>
      <w:r>
        <w:t xml:space="preserve"> </w:t>
      </w:r>
      <w:r>
        <w:t xml:space="preserve">of $37 million a year earlier, as the year-ago quarter had been hammered by the January 2025 Southern California wildfires. The property casualty combined ratio improved 17.7 points year-over-year to</w:t>
      </w:r>
      <w:r>
        <w:t xml:space="preserve"> </w:t>
      </w:r>
      <w:r>
        <w:rPr>
          <w:b/>
          <w:bCs/>
        </w:rPr>
        <w:t xml:space="preserve">95.6%</w:t>
      </w:r>
      <w:r>
        <w:t xml:space="preserve">, including an excellent</w:t>
      </w:r>
      <w:r>
        <w:t xml:space="preserve"> </w:t>
      </w:r>
      <w:r>
        <w:rPr>
          <w:b/>
          <w:bCs/>
        </w:rPr>
        <w:t xml:space="preserve">87.5% accident-year-before-catastrophe combined ratio</w:t>
      </w:r>
      <w:r>
        <w:t xml:space="preserve">. Growth remained healthy but decelerating: consolidated net written premiums grew 7% (commercial +3%, personal +15% helped by Cincinnati Private Client, E&amp;S +8%), with management flagging that renewal price increases were "lower than the fourth quarter of 2025, but still at levels we believe were healthy." Investment income grew 14% on higher bond yields and equity dividends, and the company bought back an elevated ~1.1 million shares (Mike Sewell called it "maintenance plus"). Importantly, the 10-Q explicitly reiterated a caution first flagged in the 2025 10-K: management "acknowledged" that 2026 results "may ultimately be below" the long-term 92–98% combined ratio target range given a market with "downward pressure on rate," even while reserving remains prudent.</w:t>
      </w:r>
    </w:p>
    <w:bookmarkEnd w:id="10"/>
    <w:bookmarkStart w:id="11" w:name="X12453408d13106fc9180abc93bb644b67f823d5"/>
    <w:p>
      <w:pPr>
        <w:pStyle w:val="Heading2"/>
      </w:pPr>
      <w:r>
        <w:t xml:space="preserve">3. Peer Read-Across: A Mixed Signal Heading into CINF's Print</w:t>
      </w:r>
    </w:p>
    <w:p>
      <w:pPr>
        <w:pStyle w:val="FirstParagraph"/>
      </w:pPr>
      <w:r>
        <w:t xml:space="preserve">The Q2 reporting season for P&amp;C insurers has been eventful and gives useful context for what to expect from Cincinnati:</w:t>
      </w:r>
    </w:p>
    <w:p>
      <w:pPr>
        <w:pStyle w:val="Compact"/>
        <w:numPr>
          <w:ilvl w:val="0"/>
          <w:numId w:val="1001"/>
        </w:numPr>
      </w:pPr>
      <w:r>
        <w:rPr>
          <w:b/>
          <w:bCs/>
        </w:rPr>
        <w:t xml:space="preserve">Travelers</w:t>
      </w:r>
      <w:r>
        <w:t xml:space="preserve"> </w:t>
      </w:r>
      <w:r>
        <w:t xml:space="preserve">posted a blowout quarter — adjusted EPS of</w:t>
      </w:r>
      <w:r>
        <w:t xml:space="preserve"> </w:t>
      </w:r>
      <m:oMath>
        <m:r>
          <m:t>10.04</m:t>
        </m:r>
        <m:r>
          <m:rPr>
            <m:sty m:val="p"/>
          </m:rPr>
          <m:t>*</m:t>
        </m:r>
        <m:r>
          <m:rPr>
            <m:sty m:val="p"/>
          </m:rPr>
          <m:t>*</m:t>
        </m:r>
        <m:r>
          <m:t>v</m:t>
        </m:r>
        <m:r>
          <m:t>e</m:t>
        </m:r>
        <m:r>
          <m:t>r</m:t>
        </m:r>
        <m:r>
          <m:t>s</m:t>
        </m:r>
        <m:r>
          <m:t>u</m:t>
        </m:r>
        <m:r>
          <m:t>s</m:t>
        </m:r>
        <m:r>
          <m:t>S</m:t>
        </m:r>
        <m:r>
          <m:t>t</m:t>
        </m:r>
        <m:r>
          <m:t>r</m:t>
        </m:r>
        <m:r>
          <m:t>e</m:t>
        </m:r>
        <m:r>
          <m:t>e</m:t>
        </m:r>
        <m:r>
          <m:t>t</m:t>
        </m:r>
        <m:r>
          <m:t>e</m:t>
        </m:r>
        <m:r>
          <m:t>s</m:t>
        </m:r>
        <m:r>
          <m:t>t</m:t>
        </m:r>
        <m:r>
          <m:t>i</m:t>
        </m:r>
        <m:r>
          <m:t>m</m:t>
        </m:r>
        <m:r>
          <m:t>a</m:t>
        </m:r>
        <m:r>
          <m:t>t</m:t>
        </m:r>
        <m:r>
          <m:t>e</m:t>
        </m:r>
        <m:r>
          <m:t>s</m:t>
        </m:r>
        <m:r>
          <m:t>o</m:t>
        </m:r>
        <m:r>
          <m:t>f</m:t>
        </m:r>
        <m:r>
          <m:rPr>
            <m:sty m:val="p"/>
          </m:rPr>
          <m:t>*</m:t>
        </m:r>
        <m:r>
          <m:rPr>
            <m:sty m:val="p"/>
          </m:rPr>
          <m:t>*</m:t>
        </m:r>
      </m:oMath>
      <w:r>
        <w:rPr>
          <w:b/>
          <w:bCs/>
        </w:rPr>
        <w:t xml:space="preserve">5.37</w:t>
      </w:r>
      <w:r>
        <w:t xml:space="preserve">, on a headline combined ratio of</w:t>
      </w:r>
      <w:r>
        <w:t xml:space="preserve"> </w:t>
      </w:r>
      <w:r>
        <w:rPr>
          <w:b/>
          <w:bCs/>
        </w:rPr>
        <w:t xml:space="preserve">83.6%</w:t>
      </w:r>
      <w:r>
        <w:t xml:space="preserve">, more than 1,000 basis points better than expected. Notably, two sell-side firms (Morgan Stanley, TD Cowen)</w:t>
      </w:r>
      <w:r>
        <w:t xml:space="preserve"> </w:t>
      </w:r>
      <w:r>
        <w:rPr>
          <w:i/>
          <w:iCs/>
        </w:rPr>
        <w:t xml:space="preserve">downgraded</w:t>
      </w:r>
      <w:r>
        <w:t xml:space="preserve"> </w:t>
      </w:r>
      <w:r>
        <w:t xml:space="preserve">the stock post-print, arguing the rally is "at odds with deteriorating industry fundamentals" even as headline numbers looked stellar — a signal that investors are parsing underlying (ex-cat, ex-reserve-release) trends closely this cycle.</w:t>
      </w:r>
    </w:p>
    <w:p>
      <w:pPr>
        <w:pStyle w:val="Compact"/>
        <w:numPr>
          <w:ilvl w:val="0"/>
          <w:numId w:val="1001"/>
        </w:numPr>
      </w:pPr>
      <w:r>
        <w:rPr>
          <w:b/>
          <w:bCs/>
        </w:rPr>
        <w:t xml:space="preserve">Chubb</w:t>
      </w:r>
      <w:r>
        <w:t xml:space="preserve"> </w:t>
      </w:r>
      <w:r>
        <w:t xml:space="preserve">beat as well — EPS of $7.26 versus $6.75 expected — though the "core" combined ratio outperformance was a much more modest 35 basis points, and net premiums written came in light as management walked away from underpriced business.</w:t>
      </w:r>
    </w:p>
    <w:p>
      <w:pPr>
        <w:pStyle w:val="Compact"/>
        <w:numPr>
          <w:ilvl w:val="0"/>
          <w:numId w:val="1001"/>
        </w:numPr>
      </w:pPr>
      <w:r>
        <w:rPr>
          <w:b/>
          <w:bCs/>
        </w:rPr>
        <w:t xml:space="preserve">Progressive</w:t>
      </w:r>
      <w:r>
        <w:t xml:space="preserve">, by contrast, showed clear deterioration: June-quarter EPS fell roughly 30% year-over-year as the combined ratio worsened to 90% from 86.6%, and premium growth slowed sharply (personal auto NPE growth of 6% in Q2 versus 18% a year ago) as the personal auto pricing cycle turns.</w:t>
      </w:r>
    </w:p>
    <w:p>
      <w:pPr>
        <w:pStyle w:val="Compact"/>
        <w:numPr>
          <w:ilvl w:val="0"/>
          <w:numId w:val="1001"/>
        </w:numPr>
      </w:pPr>
      <w:r>
        <w:rPr>
          <w:b/>
          <w:bCs/>
        </w:rPr>
        <w:t xml:space="preserve">Allstate</w:t>
      </w:r>
      <w:r>
        <w:t xml:space="preserve"> </w:t>
      </w:r>
      <w:r>
        <w:t xml:space="preserve">disclosed elevated catastrophe losses for the quarter —</w:t>
      </w:r>
      <w:r>
        <w:t xml:space="preserve"> </w:t>
      </w:r>
      <w:r>
        <w:rPr>
          <w:b/>
          <w:bCs/>
        </w:rPr>
        <w:t xml:space="preserve">$1.72 billion pretax / $1.36 billion after-tax</w:t>
      </w:r>
      <w:r>
        <w:t xml:space="preserve"> </w:t>
      </w:r>
      <w:r>
        <w:t xml:space="preserve">for Q2 2026 — a reminder that April–June included a active severe-weather stretch (multiple Midwest tornado outbreaks in June, including a destructive long-track tornado in Illinois, hail events, and flooding), which is relevant given Cincinnati's Midwest-centric commercial book and growing personal-lines property exposure.</w:t>
      </w:r>
    </w:p>
    <w:p>
      <w:pPr>
        <w:pStyle w:val="FirstParagraph"/>
      </w:pPr>
      <w:r>
        <w:rPr>
          <w:b/>
          <w:bCs/>
        </w:rPr>
        <w:t xml:space="preserve">Takeaway for CINF:</w:t>
      </w:r>
      <w:r>
        <w:t xml:space="preserve"> </w:t>
      </w:r>
      <w:r>
        <w:t xml:space="preserve">the setup argues for a "good but not spectacular" underwriting quarter is plausible — investors should watch closely whether Cincinnati's accident-year underlying combined ratio continues to improve (as it did in Q1) even if headline catastrophe losses tick up sequentially from Q1's benign level, and whether reported figures beat already-de-risked Street numbers the way Travelers and Chubb did, or disappoint the way Progressive's June update did.</w:t>
      </w:r>
    </w:p>
    <w:bookmarkEnd w:id="11"/>
    <w:bookmarkStart w:id="12" w:name="X135ce531e4fd340d394d0f83813494f657ef583"/>
    <w:p>
      <w:pPr>
        <w:pStyle w:val="Heading2"/>
      </w:pPr>
      <w:r>
        <w:t xml:space="preserve">4. Key Things to Watch in the Print</w:t>
      </w:r>
    </w:p>
    <w:p>
      <w:pPr>
        <w:pStyle w:val="FirstParagraph"/>
      </w:pPr>
      <w:r>
        <w:rPr>
          <w:b/>
          <w:bCs/>
        </w:rPr>
        <w:t xml:space="preserve">A. Catastrophe Losses and the Combined Ratio</w:t>
      </w:r>
      <w:r>
        <w:t xml:space="preserve"> </w:t>
      </w:r>
      <w:r>
        <w:t xml:space="preserve">Q1 2026 catastrophe losses were unusually low versus the Q1 2025 wildfire comp (11.3 points of the combined ratio versus 26.8 a year earlier). Q2 is a much harder comp: Q2 2025 already carried a relatively high current-accident-year cat load of 12.4 points on 20 declared catastrophe events including the Texas floods, and cited industry commentary (Allstate) points to an active severe-convective-storm season again this year. The market will be watching whether CINF's cat load rises sequentially and how that compares with the 94.9% combined ratio and 85.1% ex-cat accident-year ratio Cincinnati posted in Q2 2025.</w:t>
      </w:r>
    </w:p>
    <w:p>
      <w:pPr>
        <w:pStyle w:val="BodyText"/>
      </w:pPr>
      <w:r>
        <w:rPr>
          <w:b/>
          <w:bCs/>
        </w:rPr>
        <w:t xml:space="preserve">B. Premium Growth Deceleration</w:t>
      </w:r>
      <w:r>
        <w:t xml:space="preserve"> </w:t>
      </w:r>
      <w:r>
        <w:t xml:space="preserve">Commercial lines renewal pricing was "near the high end of the low-single-digit range" in Q1 2026, decelerating from Q4 2025 and well down from the high-single-digit levels of a year or two ago; personal lines pricing (high-single-digit) and E&amp;S (mid-single-digit) are also moderating. With CEO Steve Spray acknowledging pressure is greatest on "the larger the premium, the larger the account," and workers' comp pricing outright negative, watch for further deceleration in Q2 net written premium growth from Q1's 7% pace, and commentary on new business trends (which fell 11% in Q1, largely on personal lines).</w:t>
      </w:r>
    </w:p>
    <w:p>
      <w:pPr>
        <w:pStyle w:val="BodyText"/>
      </w:pPr>
      <w:r>
        <w:rPr>
          <w:b/>
          <w:bCs/>
        </w:rPr>
        <w:t xml:space="preserve">C. Casualty Reserves and Social Inflation</w:t>
      </w:r>
      <w:r>
        <w:t xml:space="preserve"> </w:t>
      </w:r>
      <w:r>
        <w:t xml:space="preserve">Commercial casualty and commercial auto remain, in Spray's words, the "epicenter" of social inflation / legal system abuse concerns. Q1 showed a small $16 million of net unfavorable development spread across accident years prior to 2024 — not alarming, but worth monitoring for a trend given ongoing industry-wide reserve strengthening in casualty/commercial auto lines. Any incremental data points on tort reform progress or litigation funding trends would also be relevant.</w:t>
      </w:r>
    </w:p>
    <w:p>
      <w:pPr>
        <w:pStyle w:val="BodyText"/>
      </w:pPr>
      <w:r>
        <w:rPr>
          <w:b/>
          <w:bCs/>
        </w:rPr>
        <w:t xml:space="preserve">D. Investment Portfolio / Book Value</w:t>
      </w:r>
      <w:r>
        <w:t xml:space="preserve"> </w:t>
      </w:r>
      <w:r>
        <w:t xml:space="preserve">Roughly 39% of Cincinnati's $32 billion investment portfolio sits in equities (mostly blue-chip, dividend payers), making book value and the value-creation ratio highly sensitive to equity markets. Q1 2026 saw a $0.75 per-share decline in book value as both equity and bond valuations moved against the company. Given the broad equity market rally through Q2 2026 (the S&amp;P 500 and CINF shares both rose sharply from late May through early July), a rebound in unrealized equity gains — and a healthier value-creation ratio than Q1's modest 0.2% — is a reasonable expectation, subject to bond portfolio marks given rate moves.</w:t>
      </w:r>
    </w:p>
    <w:p>
      <w:pPr>
        <w:pStyle w:val="BodyText"/>
      </w:pPr>
      <w:r>
        <w:rPr>
          <w:b/>
          <w:bCs/>
        </w:rPr>
        <w:t xml:space="preserve">E. Capital Return and Balance Sheet</w:t>
      </w:r>
      <w:r>
        <w:t xml:space="preserve"> </w:t>
      </w:r>
      <w:r>
        <w:t xml:space="preserve">CINF entered 2026 with $5.6 billion of parent-company cash/investments, a debt-to-capital ratio near 5%, and increased its dividend in January to</w:t>
      </w:r>
      <w:r>
        <w:t xml:space="preserve"> </w:t>
      </w:r>
      <m:oMath>
        <m:r>
          <m:t>0.94</m:t>
        </m:r>
        <m:r>
          <m:rPr>
            <m:sty m:val="p"/>
          </m:rPr>
          <m:t>/</m:t>
        </m:r>
        <m:r>
          <m:t>s</m:t>
        </m:r>
        <m:r>
          <m:t>h</m:t>
        </m:r>
        <m:r>
          <m:t>a</m:t>
        </m:r>
        <m:r>
          <m:t>r</m:t>
        </m:r>
        <m:r>
          <m:t>e</m:t>
        </m:r>
        <m:r>
          <m:t>q</m:t>
        </m:r>
        <m:r>
          <m:t>u</m:t>
        </m:r>
        <m:r>
          <m:t>a</m:t>
        </m:r>
        <m:r>
          <m:t>r</m:t>
        </m:r>
        <m:r>
          <m:t>t</m:t>
        </m:r>
        <m:r>
          <m:t>e</m:t>
        </m:r>
        <m:r>
          <m:t>r</m:t>
        </m:r>
        <m:r>
          <m:t>l</m:t>
        </m:r>
        <m:r>
          <m:t>y</m:t>
        </m:r>
        <m:r>
          <m:rPr>
            <m:sty m:val="p"/>
          </m:rPr>
          <m:t>(</m:t>
        </m:r>
      </m:oMath>
      <w:r>
        <w:t xml:space="preserve">3.76 annualized) — positioning the company for a 66th consecutive year of dividend increases, a streak matched by only a handful of U.S. public companies. Buybacks ran at an elevated "maintenance plus" pace in Q1 (~1.1 million shares); watch for confirmation of continued repurchase activity.</w:t>
      </w:r>
    </w:p>
    <w:p>
      <w:pPr>
        <w:pStyle w:val="BodyText"/>
      </w:pPr>
      <w:r>
        <w:rPr>
          <w:b/>
          <w:bCs/>
        </w:rPr>
        <w:t xml:space="preserve">F. Segment/Growth-Engine Detail</w:t>
      </w:r>
      <w:r>
        <w:t xml:space="preserve"> </w:t>
      </w:r>
      <w:r>
        <w:t xml:space="preserve">Cincinnati Re and Cincinnati Global continue to be profitability standouts (79.7% and 78.7% combined ratios, respectively, in Q1) and diversification levers; Cincinnati Private Client keeps driving personal-lines growth (personal lines NWP +15% in Q1). Watch for updated growth/profitability trends in these smaller but increasingly important units, plus commentary on new agency appointments (108 added in Q1) as a leading indicator of future growth capacity.</w:t>
      </w:r>
    </w:p>
    <w:p>
      <w:pPr>
        <w:pStyle w:val="BodyText"/>
      </w:pPr>
      <w:r>
        <w:rPr>
          <w:b/>
          <w:bCs/>
        </w:rPr>
        <w:t xml:space="preserve">G. Management/Governance Transition Notes</w:t>
      </w:r>
      <w:r>
        <w:t xml:space="preserve"> </w:t>
      </w:r>
      <w:r>
        <w:t xml:space="preserve">Since the Q1 call, Cincinnati has expanded its board to 15 seats with the addition of retired Admiral Lisa Franchetti (former Chief of Naval Operations) to the audit committee, announced the retirement of its Chief Information Officer, and is navigating the previously announced retirement of long-time IR head Dennis McDaniel — worth listening for succession commentary on the call, though none of these appear financially material.</w:t>
      </w:r>
    </w:p>
    <w:bookmarkEnd w:id="12"/>
    <w:bookmarkStart w:id="13" w:name="Xabf5f18d0acb7a9990dfc846a5bd23217ab6d34"/>
    <w:p>
      <w:pPr>
        <w:pStyle w:val="Heading2"/>
      </w:pPr>
      <w:r>
        <w:t xml:space="preserve">5. Valuation Context</w:t>
      </w:r>
    </w:p>
    <w:p>
      <w:pPr>
        <w:pStyle w:val="FirstParagraph"/>
      </w:pPr>
      <w:r>
        <w:t xml:space="preserve">At ~$182–183, CINF trades around</w:t>
      </w:r>
      <w:r>
        <w:t xml:space="preserve"> </w:t>
      </w:r>
      <w:r>
        <w:rPr>
          <w:b/>
          <w:bCs/>
        </w:rPr>
        <w:t xml:space="preserve">1.8x</w:t>
      </w:r>
      <w:r>
        <w:t xml:space="preserve"> </w:t>
      </w:r>
      <w:r>
        <w:t xml:space="preserve">its Q1 2026 book value per share of $101.60 — a premium multiple consistent with its track record of disciplined underwriting, investment strength, and dividend consistency, but one that leaves less room for error if catastrophe losses or reserve trends disappoint. The stock's sharp run since late May (from the $150s to briefly above $190) means expectations have risen alongside the price; a "good" quarter that merely matches consensus may be treated differently by the market than it would have been three months ago.</w:t>
      </w:r>
    </w:p>
    <w:bookmarkEnd w:id="13"/>
    <w:bookmarkStart w:id="14" w:name="Xd4bf6205a9bfa183b58f00ca467c208cbf0bac7"/>
    <w:p>
      <w:pPr>
        <w:pStyle w:val="Heading2"/>
      </w:pPr>
      <w:r>
        <w:t xml:space="preserve">6. Bottom Line for Investors</w:t>
      </w:r>
    </w:p>
    <w:p>
      <w:pPr>
        <w:pStyle w:val="FirstParagraph"/>
      </w:pPr>
      <w:r>
        <w:t xml:space="preserve">The core debate into Monday's print is whether Cincinnati can again show current-accident-year underwriting improvement (as in Q1) even as: (1) Q2 comps are tougher on catastrophes, (2) pricing momentum is clearly decelerating across commercial, personal, and E&amp;S lines, and (3) peers are sending mixed signals — strong headline beats from Travelers/Chubb against clear deterioration at Progressive and elevated cat losses at Allstate. Investors should focus the call on: the magnitude of Q2 catastrophe losses and the ex-cat accident-year combined ratio trend, net written premium growth and new business trends by segment, any incremental casualty/social-inflation reserve commentary, investment income growth and book value recovery, and capital return pace — all against a stock that has already re-rated meaningfully higher this year.</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2026-07-27T00:15:16Z</dcterms:created>
  <dcterms:modified xsi:type="dcterms:W3CDTF">2026-07-27T00:15:16Z</dcterms:modified>
</cp:coreProperties>
</file>

<file path=docProps/custom.xml><?xml version="1.0" encoding="utf-8"?>
<Properties xmlns="http://schemas.openxmlformats.org/officeDocument/2006/custom-properties" xmlns:vt="http://schemas.openxmlformats.org/officeDocument/2006/docPropsVTypes"/>
</file>