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42d3a80d2190622e5f7e873a37cac5c508028b2"/>
    <w:p>
      <w:pPr>
        <w:pStyle w:val="Heading1"/>
      </w:pPr>
      <w:r>
        <w:t xml:space="preserve">Cincinnati Financial (CINF) — 2026 Q2 Earnings Preview</w:t>
      </w:r>
    </w:p>
    <w:p>
      <w:pPr>
        <w:pStyle w:val="BlockText"/>
      </w:pPr>
      <w:r>
        <w:rPr>
          <w:b/>
          <w:bCs/>
        </w:rPr>
        <w:t xml:space="preserve">Timing clarification:</w:t>
      </w:r>
      <w:r>
        <w:t xml:space="preserve"> </w:t>
      </w:r>
      <w:r>
        <w:t xml:space="preserve">Cincinnati Financial is scheduled to</w:t>
      </w:r>
      <w:r>
        <w:t xml:space="preserve"> </w:t>
      </w:r>
      <w:r>
        <w:rPr>
          <w:b/>
          <w:bCs/>
        </w:rPr>
        <w:t xml:space="preserve">release Q2 results after the market closes today, Monday, July 27, 2026</w:t>
      </w:r>
      <w:r>
        <w:t xml:space="preserve">. The</w:t>
      </w:r>
      <w:r>
        <w:t xml:space="preserve"> </w:t>
      </w:r>
      <w:r>
        <w:rPr>
          <w:b/>
          <w:bCs/>
        </w:rPr>
        <w:t xml:space="preserve">earnings call is tomorrow, Tuesday, July 28, at 11:00 a.m. ET</w:t>
      </w:r>
      <w:r>
        <w:t xml:space="preserve">.</w:t>
      </w:r>
    </w:p>
    <w:bookmarkStart w:id="9" w:name="investment-view-going-into-the-report"/>
    <w:p>
      <w:pPr>
        <w:pStyle w:val="Heading2"/>
      </w:pPr>
      <w:r>
        <w:t xml:space="preserve">Investment view going into the report</w:t>
      </w:r>
    </w:p>
    <w:p>
      <w:pPr>
        <w:pStyle w:val="FirstParagraph"/>
      </w:pPr>
      <w:r>
        <w:t xml:space="preserve">CINF enters earnings with strong operating momentum, substantial excess capital and continued growth in investment income. The difficult part is valuation and expectations: the shares closed at</w:t>
      </w:r>
      <w:r>
        <w:t xml:space="preserve"> </w:t>
      </w:r>
      <w:r>
        <w:rPr>
          <w:b/>
          <w:bCs/>
        </w:rPr>
        <w:t xml:space="preserve">$182.84 on July 24</w:t>
      </w:r>
      <w:r>
        <w:t xml:space="preserve">, up approximately</w:t>
      </w:r>
      <w:r>
        <w:t xml:space="preserve"> </w:t>
      </w:r>
      <w:r>
        <w:rPr>
          <w:b/>
          <w:bCs/>
        </w:rPr>
        <w:t xml:space="preserve">13% year to date</w:t>
      </w:r>
      <w:r>
        <w:t xml:space="preserve"> </w:t>
      </w:r>
      <w:r>
        <w:t xml:space="preserve">and</w:t>
      </w:r>
      <w:r>
        <w:t xml:space="preserve"> </w:t>
      </w:r>
      <w:r>
        <w:rPr>
          <w:b/>
          <w:bCs/>
        </w:rPr>
        <w:t xml:space="preserve">10% since the day of the Q1 release</w:t>
      </w:r>
      <w:r>
        <w:t xml:space="preserve">.</w:t>
      </w:r>
    </w:p>
    <w:p>
      <w:pPr>
        <w:pStyle w:val="BodyText"/>
      </w:pPr>
      <w:r>
        <w:t xml:space="preserve">The central question is therefore not simply whether CINF beats the EPS consensus. Investors need to determine whether:</w:t>
      </w:r>
    </w:p>
    <w:p>
      <w:pPr>
        <w:pStyle w:val="Compact"/>
        <w:numPr>
          <w:ilvl w:val="0"/>
          <w:numId w:val="1001"/>
        </w:numPr>
      </w:pPr>
      <w:r>
        <w:rPr>
          <w:b/>
          <w:bCs/>
        </w:rPr>
        <w:t xml:space="preserve">Underlying underwriting margins remain attractive as commercial pricing moderates;</w:t>
      </w:r>
    </w:p>
    <w:p>
      <w:pPr>
        <w:pStyle w:val="Compact"/>
        <w:numPr>
          <w:ilvl w:val="0"/>
          <w:numId w:val="1001"/>
        </w:numPr>
      </w:pPr>
      <w:r>
        <w:rPr>
          <w:b/>
          <w:bCs/>
        </w:rPr>
        <w:t xml:space="preserve">Q2 catastrophe losses were manageable;</w:t>
      </w:r>
    </w:p>
    <w:p>
      <w:pPr>
        <w:pStyle w:val="Compact"/>
        <w:numPr>
          <w:ilvl w:val="0"/>
          <w:numId w:val="1001"/>
        </w:numPr>
      </w:pPr>
      <w:r>
        <w:rPr>
          <w:b/>
          <w:bCs/>
        </w:rPr>
        <w:t xml:space="preserve">Premium growth is slowing in a disciplined rather than concerning way; and</w:t>
      </w:r>
    </w:p>
    <w:p>
      <w:pPr>
        <w:pStyle w:val="Compact"/>
        <w:numPr>
          <w:ilvl w:val="0"/>
          <w:numId w:val="1001"/>
        </w:numPr>
      </w:pPr>
      <w:r>
        <w:rPr>
          <w:b/>
          <w:bCs/>
        </w:rPr>
        <w:t xml:space="preserve">Investment income can continue compounding at a double-digit rate.</w:t>
      </w:r>
    </w:p>
    <w:p>
      <w:pPr>
        <w:pStyle w:val="FirstParagraph"/>
      </w:pPr>
      <w:r>
        <w:t xml:space="preserve">Our base case is for another profitable quarter, but probably not one as clean as Q1. A result in the middle of management’s long-term</w:t>
      </w:r>
      <w:r>
        <w:t xml:space="preserve"> </w:t>
      </w:r>
      <w:r>
        <w:rPr>
          <w:b/>
          <w:bCs/>
        </w:rPr>
        <w:t xml:space="preserve">92%–98% combined-ratio range</w:t>
      </w:r>
      <w:r>
        <w:t xml:space="preserve">, accompanied by approximately mid- to high-single-digit premium growth, would be respectable.</w:t>
      </w:r>
    </w:p>
    <w:p>
      <w:r>
        <w:pict>
          <v:rect style="width:0;height:1.5pt" o:hralign="center" o:hrstd="t" o:hr="t"/>
        </w:pict>
      </w:r>
    </w:p>
    <w:bookmarkEnd w:id="9"/>
    <w:bookmarkStart w:id="11" w:name="at-a-glance-expectations"/>
    <w:p>
      <w:pPr>
        <w:pStyle w:val="Heading2"/>
      </w:pPr>
      <w:r>
        <w:t xml:space="preserve">At-a-glance expectations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Q1 2026</w:t>
            </w:r>
          </w:p>
        </w:tc>
        <w:tc>
          <w:tcPr/>
          <w:p>
            <w:pPr>
              <w:pStyle w:val="Compact"/>
              <w:jc w:val="right"/>
            </w:pPr>
            <w:r>
              <w:t xml:space="preserve">Q2 2025</w:t>
            </w:r>
          </w:p>
        </w:tc>
        <w:tc>
          <w:tcPr/>
          <w:p>
            <w:pPr>
              <w:pStyle w:val="Compact"/>
            </w:pPr>
            <w:r>
              <w:t xml:space="preserve">What to watch in Q2 2026</w:t>
            </w:r>
          </w:p>
        </w:tc>
      </w:tr>
      <w:tr>
        <w:tc>
          <w:tcPr/>
          <w:p>
            <w:pPr>
              <w:pStyle w:val="Compact"/>
            </w:pPr>
            <w:r>
              <w:t xml:space="preserve">Non-GAAP operating EPS</w:t>
            </w:r>
          </w:p>
        </w:tc>
        <w:tc>
          <w:tcPr/>
          <w:p>
            <w:pPr>
              <w:pStyle w:val="Compact"/>
              <w:jc w:val="right"/>
            </w:pPr>
            <w:r>
              <w:t xml:space="preserve">$2.10</w:t>
            </w:r>
          </w:p>
        </w:tc>
        <w:tc>
          <w:tcPr/>
          <w:p>
            <w:pPr>
              <w:pStyle w:val="Compact"/>
              <w:jc w:val="right"/>
            </w:pPr>
            <w:r>
              <w:t xml:space="preserve">$1.97</w:t>
            </w:r>
          </w:p>
        </w:tc>
        <w:tc>
          <w:tcPr/>
          <w:p>
            <w:pPr>
              <w:pStyle w:val="Compact"/>
            </w:pPr>
            <w:r>
              <w:t xml:space="preserve">Street estimates vary, roughly</w:t>
            </w:r>
            <w:r>
              <w:t xml:space="preserve"> </w:t>
            </w:r>
            <m:oMath>
              <m:r>
                <m:t>1.73</m:t>
              </m:r>
              <m:r>
                <m:rPr>
                  <m:sty m:val="p"/>
                </m:rPr>
                <m:t>–</m:t>
              </m:r>
            </m:oMath>
            <w:r>
              <w:rPr>
                <w:b/>
                <w:bCs/>
              </w:rPr>
              <w:t xml:space="preserve">1.84</w:t>
            </w:r>
          </w:p>
        </w:tc>
      </w:tr>
      <w:tr>
        <w:tc>
          <w:tcPr/>
          <w:p>
            <w:pPr>
              <w:pStyle w:val="Compact"/>
            </w:pPr>
            <w:r>
              <w:t xml:space="preserve">P&amp;C combined ratio</w:t>
            </w:r>
          </w:p>
        </w:tc>
        <w:tc>
          <w:tcPr/>
          <w:p>
            <w:pPr>
              <w:pStyle w:val="Compact"/>
              <w:jc w:val="right"/>
            </w:pPr>
            <w:r>
              <w:t xml:space="preserve">95.6%</w:t>
            </w:r>
          </w:p>
        </w:tc>
        <w:tc>
          <w:tcPr/>
          <w:p>
            <w:pPr>
              <w:pStyle w:val="Compact"/>
              <w:jc w:val="right"/>
            </w:pPr>
            <w:r>
              <w:t xml:space="preserve">94.9%</w:t>
            </w:r>
          </w:p>
        </w:tc>
        <w:tc>
          <w:tcPr/>
          <w:p>
            <w:pPr>
              <w:pStyle w:val="Compact"/>
            </w:pPr>
            <w:r>
              <w:rPr>
                <w:b/>
                <w:bCs/>
              </w:rPr>
              <w:t xml:space="preserve">95%–99%</w:t>
            </w:r>
            <w:r>
              <w:t xml:space="preserve"> </w:t>
            </w:r>
            <w:r>
              <w:t xml:space="preserve">would be a reasonable base-case range</w:t>
            </w:r>
          </w:p>
        </w:tc>
      </w:tr>
      <w:tr>
        <w:tc>
          <w:tcPr/>
          <w:p>
            <w:pPr>
              <w:pStyle w:val="Compact"/>
            </w:pPr>
            <w:r>
              <w:t xml:space="preserve">Current accident-year combined ratio, ex-cat</w:t>
            </w:r>
          </w:p>
        </w:tc>
        <w:tc>
          <w:tcPr/>
          <w:p>
            <w:pPr>
              <w:pStyle w:val="Compact"/>
              <w:jc w:val="right"/>
            </w:pPr>
            <w:r>
              <w:t xml:space="preserve">87.5%</w:t>
            </w:r>
          </w:p>
        </w:tc>
        <w:tc>
          <w:tcPr/>
          <w:p>
            <w:pPr>
              <w:pStyle w:val="Compact"/>
              <w:jc w:val="right"/>
            </w:pPr>
            <w:r>
              <w:t xml:space="preserve">85.1%</w:t>
            </w:r>
          </w:p>
        </w:tc>
        <w:tc>
          <w:tcPr/>
          <w:p>
            <w:pPr>
              <w:pStyle w:val="Compact"/>
            </w:pPr>
            <w:r>
              <w:t xml:space="preserve">Preferably</w:t>
            </w:r>
            <w:r>
              <w:t xml:space="preserve"> </w:t>
            </w:r>
            <w:r>
              <w:rPr>
                <w:b/>
                <w:bCs/>
              </w:rPr>
              <w:t xml:space="preserve">below 89%</w:t>
            </w:r>
          </w:p>
        </w:tc>
      </w:tr>
      <w:tr>
        <w:tc>
          <w:tcPr/>
          <w:p>
            <w:pPr>
              <w:pStyle w:val="Compact"/>
            </w:pPr>
            <w:r>
              <w:t xml:space="preserve">P&amp;C net written-premium growth</w:t>
            </w:r>
          </w:p>
        </w:tc>
        <w:tc>
          <w:tcPr/>
          <w:p>
            <w:pPr>
              <w:pStyle w:val="Compact"/>
              <w:jc w:val="right"/>
            </w:pPr>
            <w:r>
              <w:t xml:space="preserve">7%</w:t>
            </w:r>
          </w:p>
        </w:tc>
        <w:tc>
          <w:tcPr/>
          <w:p>
            <w:pPr>
              <w:pStyle w:val="Compact"/>
              <w:jc w:val="right"/>
            </w:pPr>
            <w:r>
              <w:t xml:space="preserve">11%</w:t>
            </w:r>
          </w:p>
        </w:tc>
        <w:tc>
          <w:tcPr/>
          <w:p>
            <w:pPr>
              <w:pStyle w:val="Compact"/>
            </w:pPr>
            <w:r>
              <w:t xml:space="preserve">Likely</w:t>
            </w:r>
            <w:r>
              <w:t xml:space="preserve"> </w:t>
            </w:r>
            <w:r>
              <w:rPr>
                <w:b/>
                <w:bCs/>
              </w:rPr>
              <w:t xml:space="preserve">5%–8%</w:t>
            </w:r>
            <w:r>
              <w:t xml:space="preserve"> </w:t>
            </w:r>
            <w:r>
              <w:t xml:space="preserve">as the market normalizes</w:t>
            </w:r>
          </w:p>
        </w:tc>
      </w:tr>
      <w:tr>
        <w:tc>
          <w:tcPr/>
          <w:p>
            <w:pPr>
              <w:pStyle w:val="Compact"/>
            </w:pPr>
            <w:r>
              <w:t xml:space="preserve">P&amp;C earned-premium growth</w:t>
            </w:r>
          </w:p>
        </w:tc>
        <w:tc>
          <w:tcPr/>
          <w:p>
            <w:pPr>
              <w:pStyle w:val="Compact"/>
              <w:jc w:val="right"/>
            </w:pPr>
            <w:r>
              <w:t xml:space="preserve">11%</w:t>
            </w:r>
          </w:p>
        </w:tc>
        <w:tc>
          <w:tcPr/>
          <w:p>
            <w:pPr>
              <w:pStyle w:val="Compact"/>
              <w:jc w:val="right"/>
            </w:pPr>
            <w:r>
              <w:t xml:space="preserve">16%</w:t>
            </w:r>
          </w:p>
        </w:tc>
        <w:tc>
          <w:tcPr/>
          <w:p>
            <w:pPr>
              <w:pStyle w:val="Compact"/>
            </w:pPr>
            <w:r>
              <w:t xml:space="preserve">Likely</w:t>
            </w:r>
            <w:r>
              <w:t xml:space="preserve"> </w:t>
            </w:r>
            <w:r>
              <w:rPr>
                <w:b/>
                <w:bCs/>
              </w:rPr>
              <w:t xml:space="preserve">8%–10%</w:t>
            </w:r>
          </w:p>
        </w:tc>
      </w:tr>
      <w:tr>
        <w:tc>
          <w:tcPr/>
          <w:p>
            <w:pPr>
              <w:pStyle w:val="Compact"/>
            </w:pPr>
            <w:r>
              <w:t xml:space="preserve">Pretax investment-income growth</w:t>
            </w:r>
          </w:p>
        </w:tc>
        <w:tc>
          <w:tcPr/>
          <w:p>
            <w:pPr>
              <w:pStyle w:val="Compact"/>
              <w:jc w:val="right"/>
            </w:pPr>
            <w:r>
              <w:t xml:space="preserve">14%</w:t>
            </w:r>
          </w:p>
        </w:tc>
        <w:tc>
          <w:tcPr/>
          <w:p>
            <w:pPr>
              <w:pStyle w:val="Compact"/>
              <w:jc w:val="right"/>
            </w:pPr>
            <w:r>
              <w:t xml:space="preserve">18%</w:t>
            </w:r>
          </w:p>
        </w:tc>
        <w:tc>
          <w:tcPr/>
          <w:p>
            <w:pPr>
              <w:pStyle w:val="Compact"/>
            </w:pPr>
            <w:r>
              <w:t xml:space="preserve">Continued</w:t>
            </w:r>
            <w:r>
              <w:t xml:space="preserve"> </w:t>
            </w:r>
            <w:r>
              <w:rPr>
                <w:b/>
                <w:bCs/>
              </w:rPr>
              <w:t xml:space="preserve">double-digit growth</w:t>
            </w:r>
          </w:p>
        </w:tc>
      </w:tr>
      <w:tr>
        <w:tc>
          <w:tcPr/>
          <w:p>
            <w:pPr>
              <w:pStyle w:val="Compact"/>
            </w:pPr>
            <w:r>
              <w:t xml:space="preserve">Favorable prior-year reserve development</w:t>
            </w:r>
          </w:p>
        </w:tc>
        <w:tc>
          <w:tcPr/>
          <w:p>
            <w:pPr>
              <w:pStyle w:val="Compact"/>
              <w:jc w:val="right"/>
            </w:pPr>
            <w:r>
              <w:t xml:space="preserve">3.2 points</w:t>
            </w:r>
          </w:p>
        </w:tc>
        <w:tc>
          <w:tcPr/>
          <w:p>
            <w:pPr>
              <w:pStyle w:val="Compact"/>
              <w:jc w:val="right"/>
            </w:pPr>
            <w:r>
              <w:t xml:space="preserve">2.6 points</w:t>
            </w:r>
          </w:p>
        </w:tc>
        <w:tc>
          <w:tcPr/>
          <w:p>
            <w:pPr>
              <w:pStyle w:val="Compact"/>
            </w:pPr>
            <w:r>
              <w:t xml:space="preserve">Quality and accident-year composition matter</w:t>
            </w:r>
          </w:p>
        </w:tc>
      </w:tr>
    </w:tbl>
    <w:p>
      <w:pPr>
        <w:pStyle w:val="BodyText"/>
      </w:pPr>
      <w:r>
        <w:t xml:space="preserve">Published consensus services are not completely aligned: recent estimates range from approximately</w:t>
      </w:r>
      <w:r>
        <w:t xml:space="preserve"> </w:t>
      </w:r>
      <w:r>
        <w:rPr>
          <w:b/>
          <w:bCs/>
        </w:rPr>
        <w:t xml:space="preserve">$1.73 to $1.84 of EPS</w:t>
      </w:r>
      <w:r>
        <w:t xml:space="preserve">, while revenue estimates vary even more widely. That is another reason to prioritize operating income, the combined ratio and book-value creation over headline GAAP revenue. (</w:t>
      </w:r>
      <w:hyperlink r:id="rId10">
        <w:r>
          <w:rPr>
            <w:rStyle w:val="Hyperlink"/>
          </w:rPr>
          <w:t xml:space="preserve">benzinga.com</w:t>
        </w:r>
      </w:hyperlink>
      <w:r>
        <w:t xml:space="preserve">)</w:t>
      </w:r>
    </w:p>
    <w:p>
      <w:r>
        <w:pict>
          <v:rect style="width:0;height:1.5pt" o:hralign="center" o:hrstd="t" o:hr="t"/>
        </w:pict>
      </w:r>
    </w:p>
    <w:bookmarkEnd w:id="11"/>
    <w:bookmarkStart w:id="17" w:name="X344f329327c6c722bc08a7f5911cead4296d534"/>
    <w:p>
      <w:pPr>
        <w:pStyle w:val="Heading2"/>
      </w:pPr>
      <w:r>
        <w:t xml:space="preserve">1. Catastrophe losses are the largest near-term swing factor</w:t>
      </w:r>
    </w:p>
    <w:p>
      <w:pPr>
        <w:pStyle w:val="FirstParagraph"/>
      </w:pPr>
      <w:r>
        <w:t xml:space="preserve">CINF’s Q1 combined ratio was</w:t>
      </w:r>
      <w:r>
        <w:t xml:space="preserve"> </w:t>
      </w:r>
      <w:r>
        <w:rPr>
          <w:b/>
          <w:bCs/>
        </w:rPr>
        <w:t xml:space="preserve">95.6%</w:t>
      </w:r>
      <w:r>
        <w:t xml:space="preserve">, despite catastrophe losses adding</w:t>
      </w:r>
      <w:r>
        <w:t xml:space="preserve"> </w:t>
      </w:r>
      <w:r>
        <w:rPr>
          <w:b/>
          <w:bCs/>
        </w:rPr>
        <w:t xml:space="preserve">11.3 points</w:t>
      </w:r>
      <w:r>
        <w:t xml:space="preserve">. The underlying current accident-year combined ratio before catastrophes was an excellent</w:t>
      </w:r>
      <w:r>
        <w:t xml:space="preserve"> </w:t>
      </w:r>
      <w:r>
        <w:rPr>
          <w:b/>
          <w:bCs/>
        </w:rPr>
        <w:t xml:space="preserve">87.5%</w:t>
      </w:r>
      <w:r>
        <w:t xml:space="preserve">. That underlying result is the cleanest starting point for analyzing Q2. (</w:t>
      </w:r>
      <w:hyperlink r:id="rId12">
        <w:r>
          <w:rPr>
            <w:rStyle w:val="Hyperlink"/>
          </w:rPr>
          <w:t xml:space="preserve">investors.cinfin.com</w:t>
        </w:r>
      </w:hyperlink>
      <w:r>
        <w:t xml:space="preserve">)</w:t>
      </w:r>
    </w:p>
    <w:p>
      <w:pPr>
        <w:pStyle w:val="BodyText"/>
      </w:pPr>
      <w:r>
        <w:t xml:space="preserve">Q2 is seasonally exposed to hail, tornado and severe-wind claims. Industry data suggest that first-half global catastrophe losses were relatively moderate overall, but U.S. severe-convective-storm losses remained significant. Aon estimated that an April 23–29 U.S. storm outbreak alone generated more than</w:t>
      </w:r>
      <w:r>
        <w:t xml:space="preserve"> </w:t>
      </w:r>
      <w:r>
        <w:rPr>
          <w:b/>
          <w:bCs/>
        </w:rPr>
        <w:t xml:space="preserve">$5 billion of insured losses</w:t>
      </w:r>
      <w:r>
        <w:t xml:space="preserve">, while U.S. insured catastrophe losses were above their regional average in the first half. (</w:t>
      </w:r>
      <w:hyperlink r:id="rId13">
        <w:r>
          <w:rPr>
            <w:rStyle w:val="Hyperlink"/>
          </w:rPr>
          <w:t xml:space="preserve">ca.marketscreener.com</w:t>
        </w:r>
      </w:hyperlink>
      <w:r>
        <w:t xml:space="preserve">)</w:t>
      </w:r>
    </w:p>
    <w:p>
      <w:pPr>
        <w:pStyle w:val="BodyText"/>
      </w:pPr>
      <w:r>
        <w:t xml:space="preserve">For comparison, CINF recorded a</w:t>
      </w:r>
      <w:r>
        <w:t xml:space="preserve"> </w:t>
      </w:r>
      <w:r>
        <w:rPr>
          <w:b/>
          <w:bCs/>
        </w:rPr>
        <w:t xml:space="preserve">12.4-point catastrophe-loss ratio in Q2 2025</w:t>
      </w:r>
      <w:r>
        <w:t xml:space="preserve">. A Q2 2026 cat ratio around or below that level would likely support a sub-100% combined ratio, assuming underlying loss trends remain controlled. (</w:t>
      </w:r>
      <w:hyperlink r:id="rId14">
        <w:r>
          <w:rPr>
            <w:rStyle w:val="Hyperlink"/>
          </w:rPr>
          <w:t xml:space="preserve">investors.cinfin.com</w:t>
        </w:r>
      </w:hyperlink>
      <w:r>
        <w:t xml:space="preserve">)</w:t>
      </w:r>
    </w:p>
    <w:bookmarkStart w:id="15" w:name="what-would-be-encouraging"/>
    <w:p>
      <w:pPr>
        <w:pStyle w:val="Heading3"/>
      </w:pPr>
      <w:r>
        <w:t xml:space="preserve">What would be encouraging</w:t>
      </w:r>
    </w:p>
    <w:p>
      <w:pPr>
        <w:pStyle w:val="Compact"/>
        <w:numPr>
          <w:ilvl w:val="0"/>
          <w:numId w:val="1002"/>
        </w:numPr>
      </w:pPr>
      <w:r>
        <w:t xml:space="preserve">Catastrophe ratio of approximately</w:t>
      </w:r>
      <w:r>
        <w:t xml:space="preserve"> </w:t>
      </w:r>
      <w:r>
        <w:rPr>
          <w:b/>
          <w:bCs/>
        </w:rPr>
        <w:t xml:space="preserve">12% or less</w:t>
      </w:r>
      <w:r>
        <w:t xml:space="preserve">.</w:t>
      </w:r>
    </w:p>
    <w:p>
      <w:pPr>
        <w:pStyle w:val="Compact"/>
        <w:numPr>
          <w:ilvl w:val="0"/>
          <w:numId w:val="1002"/>
        </w:numPr>
      </w:pPr>
      <w:r>
        <w:t xml:space="preserve">Consolidated combined ratio below</w:t>
      </w:r>
      <w:r>
        <w:t xml:space="preserve"> </w:t>
      </w:r>
      <w:r>
        <w:rPr>
          <w:b/>
          <w:bCs/>
        </w:rPr>
        <w:t xml:space="preserve">97%</w:t>
      </w:r>
      <w:r>
        <w:t xml:space="preserve">.</w:t>
      </w:r>
    </w:p>
    <w:p>
      <w:pPr>
        <w:pStyle w:val="Compact"/>
        <w:numPr>
          <w:ilvl w:val="0"/>
          <w:numId w:val="1002"/>
        </w:numPr>
      </w:pPr>
      <w:r>
        <w:t xml:space="preserve">Underlying current accident-year combined ratio below</w:t>
      </w:r>
      <w:r>
        <w:t xml:space="preserve"> </w:t>
      </w:r>
      <w:r>
        <w:rPr>
          <w:b/>
          <w:bCs/>
        </w:rPr>
        <w:t xml:space="preserve">88%–89%</w:t>
      </w:r>
      <w:r>
        <w:t xml:space="preserve">.</w:t>
      </w:r>
    </w:p>
    <w:p>
      <w:pPr>
        <w:pStyle w:val="Compact"/>
        <w:numPr>
          <w:ilvl w:val="0"/>
          <w:numId w:val="1002"/>
        </w:numPr>
      </w:pPr>
      <w:r>
        <w:t xml:space="preserve">Personal-lines profitability remaining intact despite weather losses.</w:t>
      </w:r>
    </w:p>
    <w:bookmarkEnd w:id="15"/>
    <w:bookmarkStart w:id="16" w:name="what-would-be-concerning"/>
    <w:p>
      <w:pPr>
        <w:pStyle w:val="Heading3"/>
      </w:pPr>
      <w:r>
        <w:t xml:space="preserve">What would be concerning</w:t>
      </w:r>
    </w:p>
    <w:p>
      <w:pPr>
        <w:pStyle w:val="Compact"/>
        <w:numPr>
          <w:ilvl w:val="0"/>
          <w:numId w:val="1003"/>
        </w:numPr>
      </w:pPr>
      <w:r>
        <w:t xml:space="preserve">Catastrophe losses materially above the prior-year 12.4-point ratio.</w:t>
      </w:r>
    </w:p>
    <w:p>
      <w:pPr>
        <w:pStyle w:val="Compact"/>
        <w:numPr>
          <w:ilvl w:val="0"/>
          <w:numId w:val="1003"/>
        </w:numPr>
      </w:pPr>
      <w:r>
        <w:t xml:space="preserve">A consolidated combined ratio above 100%.</w:t>
      </w:r>
    </w:p>
    <w:p>
      <w:pPr>
        <w:pStyle w:val="Compact"/>
        <w:numPr>
          <w:ilvl w:val="0"/>
          <w:numId w:val="1003"/>
        </w:numPr>
      </w:pPr>
      <w:r>
        <w:t xml:space="preserve">Weak results attributed not only to storms, but also to higher non-cat property or casualty loss picks.</w:t>
      </w:r>
    </w:p>
    <w:p>
      <w:r>
        <w:pict>
          <v:rect style="width:0;height:1.5pt" o:hralign="center" o:hrstd="t" o:hr="t"/>
        </w:pict>
      </w:r>
    </w:p>
    <w:bookmarkEnd w:id="16"/>
    <w:bookmarkEnd w:id="17"/>
    <w:bookmarkStart w:id="19" w:name="Xd685b28e8b6ca2ca3fb9df07b4c819d7ac5bc9b"/>
    <w:p>
      <w:pPr>
        <w:pStyle w:val="Heading2"/>
      </w:pPr>
      <w:r>
        <w:t xml:space="preserve">2. Commercial lines are the most important underlying-margin test</w:t>
      </w:r>
    </w:p>
    <w:p>
      <w:pPr>
        <w:pStyle w:val="FirstParagraph"/>
      </w:pPr>
      <w:r>
        <w:t xml:space="preserve">The strongest headline from Q1 concealed a weaker commercial-lines result:</w:t>
      </w:r>
    </w:p>
    <w:p>
      <w:pPr>
        <w:pStyle w:val="Compact"/>
        <w:numPr>
          <w:ilvl w:val="0"/>
          <w:numId w:val="1004"/>
        </w:numPr>
      </w:pPr>
      <w:r>
        <w:t xml:space="preserve">Commercial combined ratio:</w:t>
      </w:r>
      <w:r>
        <w:t xml:space="preserve"> </w:t>
      </w:r>
      <w:r>
        <w:rPr>
          <w:b/>
          <w:bCs/>
        </w:rPr>
        <w:t xml:space="preserve">98.6%</w:t>
      </w:r>
      <w:r>
        <w:t xml:space="preserve">, versus 91.9% one year earlier.</w:t>
      </w:r>
    </w:p>
    <w:p>
      <w:pPr>
        <w:pStyle w:val="Compact"/>
        <w:numPr>
          <w:ilvl w:val="0"/>
          <w:numId w:val="1004"/>
        </w:numPr>
      </w:pPr>
      <w:r>
        <w:t xml:space="preserve">Current accident-year combined ratio before catastrophes:</w:t>
      </w:r>
      <w:r>
        <w:t xml:space="preserve"> </w:t>
      </w:r>
      <w:r>
        <w:rPr>
          <w:b/>
          <w:bCs/>
        </w:rPr>
        <w:t xml:space="preserve">93.2%</w:t>
      </w:r>
      <w:r>
        <w:t xml:space="preserve">, up 2.5 points.</w:t>
      </w:r>
    </w:p>
    <w:p>
      <w:pPr>
        <w:pStyle w:val="Compact"/>
        <w:numPr>
          <w:ilvl w:val="0"/>
          <w:numId w:val="1004"/>
        </w:numPr>
      </w:pPr>
      <w:r>
        <w:t xml:space="preserve">Net written-premium growth: only</w:t>
      </w:r>
      <w:r>
        <w:t xml:space="preserve"> </w:t>
      </w:r>
      <w:r>
        <w:rPr>
          <w:b/>
          <w:bCs/>
        </w:rPr>
        <w:t xml:space="preserve">3%</w:t>
      </w:r>
      <w:r>
        <w:t xml:space="preserve">.</w:t>
      </w:r>
    </w:p>
    <w:p>
      <w:pPr>
        <w:pStyle w:val="Compact"/>
        <w:numPr>
          <w:ilvl w:val="0"/>
          <w:numId w:val="1004"/>
        </w:numPr>
      </w:pPr>
      <w:r>
        <w:t xml:space="preserve">Average renewal pricing: near the high end of the low-single-digit range.</w:t>
      </w:r>
    </w:p>
    <w:p>
      <w:pPr>
        <w:pStyle w:val="FirstParagraph"/>
      </w:pPr>
      <w:r>
        <w:t xml:space="preserve">Management acknowledged that commercial pricing was softening, particularly for larger accounts and commercial property. Casualty pricing remained around the mid-single-digit range, but management also emphasized that the industry is not “out of the woods” on social inflation and litigation severity.</w:t>
      </w:r>
    </w:p>
    <w:p>
      <w:pPr>
        <w:pStyle w:val="BodyText"/>
      </w:pPr>
      <w:r>
        <w:t xml:space="preserve">This makes commercial lines the key quality indicator in the report. A consolidated beat driven by low catastrophe losses or favorable reserves would be less convincing if the commercial ex-cat accident-year ratio remains around 93% or deteriorates further.</w:t>
      </w:r>
    </w:p>
    <w:bookmarkStart w:id="18" w:name="key-questions-for-the-call"/>
    <w:p>
      <w:pPr>
        <w:pStyle w:val="Heading3"/>
      </w:pPr>
      <w:r>
        <w:t xml:space="preserve">Key questions for the call</w:t>
      </w:r>
    </w:p>
    <w:p>
      <w:pPr>
        <w:pStyle w:val="Compact"/>
        <w:numPr>
          <w:ilvl w:val="0"/>
          <w:numId w:val="1005"/>
        </w:numPr>
      </w:pPr>
      <w:r>
        <w:t xml:space="preserve">Did commercial renewal pricing decelerate again from Q1?</w:t>
      </w:r>
    </w:p>
    <w:p>
      <w:pPr>
        <w:pStyle w:val="Compact"/>
        <w:numPr>
          <w:ilvl w:val="0"/>
          <w:numId w:val="1005"/>
        </w:numPr>
      </w:pPr>
      <w:r>
        <w:t xml:space="preserve">Is casualty rate still keeping pace with expected loss-cost inflation?</w:t>
      </w:r>
    </w:p>
    <w:p>
      <w:pPr>
        <w:pStyle w:val="Compact"/>
        <w:numPr>
          <w:ilvl w:val="0"/>
          <w:numId w:val="1005"/>
        </w:numPr>
      </w:pPr>
      <w:r>
        <w:t xml:space="preserve">Are retention and new-business hit rates weakening on larger accounts?</w:t>
      </w:r>
    </w:p>
    <w:p>
      <w:pPr>
        <w:pStyle w:val="Compact"/>
        <w:numPr>
          <w:ilvl w:val="0"/>
          <w:numId w:val="1005"/>
        </w:numPr>
      </w:pPr>
      <w:r>
        <w:t xml:space="preserve">Did management increase commercial-auto or general-liability loss picks?</w:t>
      </w:r>
    </w:p>
    <w:p>
      <w:pPr>
        <w:pStyle w:val="Compact"/>
        <w:numPr>
          <w:ilvl w:val="0"/>
          <w:numId w:val="1005"/>
        </w:numPr>
      </w:pPr>
      <w:r>
        <w:t xml:space="preserve">Is slower premium growth entirely intentional, or is competition reducing attractive opportunities?</w:t>
      </w:r>
    </w:p>
    <w:p>
      <w:pPr>
        <w:pStyle w:val="FirstParagraph"/>
      </w:pPr>
      <w:r>
        <w:rPr>
          <w:b/>
          <w:bCs/>
        </w:rPr>
        <w:t xml:space="preserve">Best outcome:</w:t>
      </w:r>
      <w:r>
        <w:t xml:space="preserve"> </w:t>
      </w:r>
      <w:r>
        <w:t xml:space="preserve">Commercial premium growth stabilizes near 3%–5% while the ex-cat accident-year combined ratio improves below 92%.</w:t>
      </w:r>
    </w:p>
    <w:p>
      <w:r>
        <w:pict>
          <v:rect style="width:0;height:1.5pt" o:hralign="center" o:hrstd="t" o:hr="t"/>
        </w:pict>
      </w:r>
    </w:p>
    <w:bookmarkEnd w:id="18"/>
    <w:bookmarkEnd w:id="19"/>
    <w:bookmarkStart w:id="20" w:name="X6e423a85bb7e1abcd6e1cb37394482421b362d9"/>
    <w:p>
      <w:pPr>
        <w:pStyle w:val="Heading2"/>
      </w:pPr>
      <w:r>
        <w:t xml:space="preserve">3. Personal lines should remain profitable—but growth quality matters</w:t>
      </w:r>
    </w:p>
    <w:p>
      <w:pPr>
        <w:pStyle w:val="FirstParagraph"/>
      </w:pPr>
      <w:r>
        <w:t xml:space="preserve">Personal lines produced a dramatic Q1 recovery:</w:t>
      </w:r>
    </w:p>
    <w:p>
      <w:pPr>
        <w:pStyle w:val="Compact"/>
        <w:numPr>
          <w:ilvl w:val="0"/>
          <w:numId w:val="1006"/>
        </w:numPr>
      </w:pPr>
      <w:r>
        <w:rPr>
          <w:b/>
          <w:bCs/>
        </w:rPr>
        <w:t xml:space="preserve">96.8% combined ratio</w:t>
      </w:r>
      <w:r>
        <w:t xml:space="preserve">, versus 151.3% in Q1 2025.</w:t>
      </w:r>
    </w:p>
    <w:p>
      <w:pPr>
        <w:pStyle w:val="Compact"/>
        <w:numPr>
          <w:ilvl w:val="0"/>
          <w:numId w:val="1006"/>
        </w:numPr>
      </w:pPr>
      <w:r>
        <w:rPr>
          <w:b/>
          <w:bCs/>
        </w:rPr>
        <w:t xml:space="preserve">80.5% current accident-year combined ratio before catastrophes</w:t>
      </w:r>
      <w:r>
        <w:t xml:space="preserve">.</w:t>
      </w:r>
    </w:p>
    <w:p>
      <w:pPr>
        <w:pStyle w:val="Compact"/>
        <w:numPr>
          <w:ilvl w:val="0"/>
          <w:numId w:val="1006"/>
        </w:numPr>
      </w:pPr>
      <w:r>
        <w:rPr>
          <w:b/>
          <w:bCs/>
        </w:rPr>
        <w:t xml:space="preserve">15% net written-premium growth</w:t>
      </w:r>
      <w:r>
        <w:t xml:space="preserve">.</w:t>
      </w:r>
    </w:p>
    <w:p>
      <w:pPr>
        <w:pStyle w:val="Compact"/>
        <w:numPr>
          <w:ilvl w:val="0"/>
          <w:numId w:val="1006"/>
        </w:numPr>
      </w:pPr>
      <w:r>
        <w:t xml:space="preserve">High-single-digit renewal pricing.</w:t>
      </w:r>
    </w:p>
    <w:p>
      <w:pPr>
        <w:pStyle w:val="Compact"/>
        <w:numPr>
          <w:ilvl w:val="0"/>
          <w:numId w:val="1006"/>
        </w:numPr>
      </w:pPr>
      <w:r>
        <w:t xml:space="preserve">New-business premiums down</w:t>
      </w:r>
      <w:r>
        <w:t xml:space="preserve"> </w:t>
      </w:r>
      <w:r>
        <w:rPr>
          <w:b/>
          <w:bCs/>
        </w:rPr>
        <w:t xml:space="preserve">40%</w:t>
      </w:r>
      <w:r>
        <w:t xml:space="preserve">.</w:t>
      </w:r>
    </w:p>
    <w:p>
      <w:pPr>
        <w:pStyle w:val="FirstParagraph"/>
      </w:pPr>
      <w:r>
        <w:t xml:space="preserve">The lower new-business production is not automatically negative. Management deliberately slowed writings following the 2025 California wildfires, while continuing to receive substantial renewal rate. Exposure counts were down somewhat, meaning CINF was collecting more premium on fewer risks.</w:t>
      </w:r>
    </w:p>
    <w:p>
      <w:pPr>
        <w:pStyle w:val="BodyText"/>
      </w:pPr>
      <w:r>
        <w:t xml:space="preserve">In Q2, investors should separate</w:t>
      </w:r>
      <w:r>
        <w:t xml:space="preserve"> </w:t>
      </w:r>
      <w:r>
        <w:rPr>
          <w:b/>
          <w:bCs/>
        </w:rPr>
        <w:t xml:space="preserve">rate-driven growth</w:t>
      </w:r>
      <w:r>
        <w:t xml:space="preserve"> </w:t>
      </w:r>
      <w:r>
        <w:t xml:space="preserve">from actual exposure growth:</w:t>
      </w:r>
    </w:p>
    <w:p>
      <w:pPr>
        <w:pStyle w:val="Compact"/>
        <w:numPr>
          <w:ilvl w:val="0"/>
          <w:numId w:val="1007"/>
        </w:numPr>
      </w:pPr>
      <w:r>
        <w:t xml:space="preserve">Strong premium growth with declining policy counts can improve near-term margins.</w:t>
      </w:r>
    </w:p>
    <w:p>
      <w:pPr>
        <w:pStyle w:val="Compact"/>
        <w:numPr>
          <w:ilvl w:val="0"/>
          <w:numId w:val="1007"/>
        </w:numPr>
      </w:pPr>
      <w:r>
        <w:t xml:space="preserve">Over time, however, persistently weak new business could limit growth after earned rate increases mature.</w:t>
      </w:r>
    </w:p>
    <w:p>
      <w:pPr>
        <w:pStyle w:val="Compact"/>
        <w:numPr>
          <w:ilvl w:val="0"/>
          <w:numId w:val="1007"/>
        </w:numPr>
      </w:pPr>
      <w:r>
        <w:t xml:space="preserve">The high-net-worth/private-client book remains attractive but carries meaningful property concentration and umbrella severity risk.</w:t>
      </w:r>
    </w:p>
    <w:p>
      <w:pPr>
        <w:pStyle w:val="FirstParagraph"/>
      </w:pPr>
      <w:r>
        <w:t xml:space="preserve">A personal-lines ex-cat accident-year ratio in the low-80s would confirm that rate, underwriting changes and risk selection are working. A sharp reversal toward the upper 80s would raise questions about whether Q1 benefited from unusually favorable loss activity.</w:t>
      </w:r>
    </w:p>
    <w:p>
      <w:r>
        <w:pict>
          <v:rect style="width:0;height:1.5pt" o:hralign="center" o:hrstd="t" o:hr="t"/>
        </w:pict>
      </w:r>
    </w:p>
    <w:bookmarkEnd w:id="20"/>
    <w:bookmarkStart w:id="21" w:name="Xa68d4a9e9fe19ade84c7376e1ba47ba99c9b71d"/>
    <w:p>
      <w:pPr>
        <w:pStyle w:val="Heading2"/>
      </w:pPr>
      <w:r>
        <w:t xml:space="preserve">4. Premium growth is likely to slow—and that is acceptable</w:t>
      </w:r>
    </w:p>
    <w:p>
      <w:pPr>
        <w:pStyle w:val="FirstParagraph"/>
      </w:pPr>
      <w:r>
        <w:t xml:space="preserve">Consolidated P&amp;C net written premiums grew</w:t>
      </w:r>
      <w:r>
        <w:t xml:space="preserve"> </w:t>
      </w:r>
      <w:r>
        <w:rPr>
          <w:b/>
          <w:bCs/>
        </w:rPr>
        <w:t xml:space="preserve">7% in Q1</w:t>
      </w:r>
      <w:r>
        <w:t xml:space="preserve">, compared with 11% in Q2 2025. Management has been explicit that recent hard-market growth rates are normalizing.</w:t>
      </w:r>
    </w:p>
    <w:p>
      <w:pPr>
        <w:pStyle w:val="BodyText"/>
      </w:pPr>
      <w:r>
        <w:t xml:space="preserve">Our rough expectation is:</w:t>
      </w:r>
    </w:p>
    <w:p>
      <w:pPr>
        <w:pStyle w:val="Compact"/>
        <w:numPr>
          <w:ilvl w:val="0"/>
          <w:numId w:val="1008"/>
        </w:numPr>
      </w:pPr>
      <w:r>
        <w:rPr>
          <w:b/>
          <w:bCs/>
        </w:rPr>
        <w:t xml:space="preserve">Net written-premium growth:</w:t>
      </w:r>
      <w:r>
        <w:t xml:space="preserve"> </w:t>
      </w:r>
      <w:r>
        <w:t xml:space="preserve">5%–8%.</w:t>
      </w:r>
    </w:p>
    <w:p>
      <w:pPr>
        <w:pStyle w:val="Compact"/>
        <w:numPr>
          <w:ilvl w:val="0"/>
          <w:numId w:val="1008"/>
        </w:numPr>
      </w:pPr>
      <w:r>
        <w:rPr>
          <w:b/>
          <w:bCs/>
        </w:rPr>
        <w:t xml:space="preserve">P&amp;C earned-premium growth:</w:t>
      </w:r>
      <w:r>
        <w:t xml:space="preserve"> </w:t>
      </w:r>
      <w:r>
        <w:t xml:space="preserve">8%–10%.</w:t>
      </w:r>
    </w:p>
    <w:p>
      <w:pPr>
        <w:pStyle w:val="Compact"/>
        <w:numPr>
          <w:ilvl w:val="0"/>
          <w:numId w:val="1008"/>
        </w:numPr>
      </w:pPr>
      <w:r>
        <w:rPr>
          <w:b/>
          <w:bCs/>
        </w:rPr>
        <w:t xml:space="preserve">Commercial growth:</w:t>
      </w:r>
      <w:r>
        <w:t xml:space="preserve"> </w:t>
      </w:r>
      <w:r>
        <w:t xml:space="preserve">3%–5%.</w:t>
      </w:r>
    </w:p>
    <w:p>
      <w:pPr>
        <w:pStyle w:val="Compact"/>
        <w:numPr>
          <w:ilvl w:val="0"/>
          <w:numId w:val="1008"/>
        </w:numPr>
      </w:pPr>
      <w:r>
        <w:rPr>
          <w:b/>
          <w:bCs/>
        </w:rPr>
        <w:t xml:space="preserve">Personal growth:</w:t>
      </w:r>
      <w:r>
        <w:t xml:space="preserve"> </w:t>
      </w:r>
      <w:r>
        <w:t xml:space="preserve">high single digits to low teens.</w:t>
      </w:r>
    </w:p>
    <w:p>
      <w:pPr>
        <w:pStyle w:val="Compact"/>
        <w:numPr>
          <w:ilvl w:val="0"/>
          <w:numId w:val="1008"/>
        </w:numPr>
      </w:pPr>
      <w:r>
        <w:rPr>
          <w:b/>
          <w:bCs/>
        </w:rPr>
        <w:t xml:space="preserve">E&amp;S growth:</w:t>
      </w:r>
      <w:r>
        <w:t xml:space="preserve"> </w:t>
      </w:r>
      <w:r>
        <w:t xml:space="preserve">high single digits, potentially better if new products continue gaining traction.</w:t>
      </w:r>
    </w:p>
    <w:p>
      <w:pPr>
        <w:pStyle w:val="FirstParagraph"/>
      </w:pPr>
      <w:r>
        <w:t xml:space="preserve">The distinction between disciplined and problematic deceleration is pricing adequacy. A 5%–6% premium-growth result accompanied by stable margins would be preferable to double-digit growth with weaker loss ratios.</w:t>
      </w:r>
    </w:p>
    <w:p>
      <w:pPr>
        <w:pStyle w:val="BodyText"/>
      </w:pPr>
      <w:r>
        <w:t xml:space="preserve">Agency appointments provide an additional longer-term growth channel. CINF appointed</w:t>
      </w:r>
      <w:r>
        <w:t xml:space="preserve"> </w:t>
      </w:r>
      <w:r>
        <w:rPr>
          <w:b/>
          <w:bCs/>
        </w:rPr>
        <w:t xml:space="preserve">108 agencies in Q1</w:t>
      </w:r>
      <w:r>
        <w:t xml:space="preserve">, and production from recently appointed agencies should gradually become more meaningful. The critical question is whether these appointments can offset slowing same-agency new business without diluting underwriting quality.</w:t>
      </w:r>
    </w:p>
    <w:p>
      <w:r>
        <w:pict>
          <v:rect style="width:0;height:1.5pt" o:hralign="center" o:hrstd="t" o:hr="t"/>
        </w:pict>
      </w:r>
    </w:p>
    <w:bookmarkEnd w:id="21"/>
    <w:bookmarkStart w:id="23" w:name="X9021075ccf222ce44b08ff6fc6a9cd31aa69604"/>
    <w:p>
      <w:pPr>
        <w:pStyle w:val="Heading2"/>
      </w:pPr>
      <w:r>
        <w:t xml:space="preserve">5. Investment income should remain a dependable earnings tailwind</w:t>
      </w:r>
    </w:p>
    <w:p>
      <w:pPr>
        <w:pStyle w:val="FirstParagraph"/>
      </w:pPr>
      <w:r>
        <w:t xml:space="preserve">Investment income was one of Q1’s strongest components:</w:t>
      </w:r>
    </w:p>
    <w:p>
      <w:pPr>
        <w:pStyle w:val="Compact"/>
        <w:numPr>
          <w:ilvl w:val="0"/>
          <w:numId w:val="1009"/>
        </w:numPr>
      </w:pPr>
      <w:r>
        <w:t xml:space="preserve">Pretax investment income increased</w:t>
      </w:r>
      <w:r>
        <w:t xml:space="preserve"> </w:t>
      </w:r>
      <w:r>
        <w:rPr>
          <w:b/>
          <w:bCs/>
        </w:rPr>
        <w:t xml:space="preserve">14% to $318 million</w:t>
      </w:r>
      <w:r>
        <w:t xml:space="preserve">.</w:t>
      </w:r>
    </w:p>
    <w:p>
      <w:pPr>
        <w:pStyle w:val="Compact"/>
        <w:numPr>
          <w:ilvl w:val="0"/>
          <w:numId w:val="1009"/>
        </w:numPr>
      </w:pPr>
      <w:r>
        <w:t xml:space="preserve">Bond interest income increased 12%.</w:t>
      </w:r>
    </w:p>
    <w:p>
      <w:pPr>
        <w:pStyle w:val="Compact"/>
        <w:numPr>
          <w:ilvl w:val="0"/>
          <w:numId w:val="1009"/>
        </w:numPr>
      </w:pPr>
      <w:r>
        <w:t xml:space="preserve">Equity-dividend income increased 13%, including a special dividend.</w:t>
      </w:r>
    </w:p>
    <w:p>
      <w:pPr>
        <w:pStyle w:val="Compact"/>
        <w:numPr>
          <w:ilvl w:val="0"/>
          <w:numId w:val="1009"/>
        </w:numPr>
      </w:pPr>
      <w:r>
        <w:t xml:space="preserve">The fixed-income portfolio’s pretax yield increased to</w:t>
      </w:r>
      <w:r>
        <w:t xml:space="preserve"> </w:t>
      </w:r>
      <w:r>
        <w:rPr>
          <w:b/>
          <w:bCs/>
        </w:rPr>
        <w:t xml:space="preserve">5.02%</w:t>
      </w:r>
      <w:r>
        <w:t xml:space="preserve">.</w:t>
      </w:r>
    </w:p>
    <w:p>
      <w:pPr>
        <w:pStyle w:val="Compact"/>
        <w:numPr>
          <w:ilvl w:val="0"/>
          <w:numId w:val="1009"/>
        </w:numPr>
      </w:pPr>
      <w:r>
        <w:t xml:space="preserve">New bonds purchased during Q1 had an average pretax yield of</w:t>
      </w:r>
      <w:r>
        <w:t xml:space="preserve"> </w:t>
      </w:r>
      <w:r>
        <w:rPr>
          <w:b/>
          <w:bCs/>
        </w:rPr>
        <w:t xml:space="preserve">5.37%</w:t>
      </w:r>
      <w:r>
        <w:t xml:space="preserve">.</w:t>
      </w:r>
    </w:p>
    <w:p>
      <w:pPr>
        <w:pStyle w:val="FirstParagraph"/>
      </w:pPr>
      <w:r>
        <w:t xml:space="preserve">Given continued insurance cash generation and reinvestment above the existing portfolio yield, another quarter of double-digit investment-income growth appears achievable. A reasonable expectation is approximately</w:t>
      </w:r>
      <w:r>
        <w:t xml:space="preserve"> </w:t>
      </w:r>
      <m:oMath>
        <m:r>
          <m:t>315</m:t>
        </m:r>
        <m:r>
          <m:t>m</m:t>
        </m:r>
        <m:r>
          <m:t>i</m:t>
        </m:r>
        <m:r>
          <m:t>l</m:t>
        </m:r>
        <m:r>
          <m:t>l</m:t>
        </m:r>
        <m:r>
          <m:t>i</m:t>
        </m:r>
        <m:r>
          <m:t>o</m:t>
        </m:r>
        <m:r>
          <m:t>n</m:t>
        </m:r>
        <m:r>
          <m:rPr>
            <m:sty m:val="p"/>
          </m:rPr>
          <m:t>–</m:t>
        </m:r>
      </m:oMath>
      <w:r>
        <w:rPr>
          <w:b/>
          <w:bCs/>
        </w:rPr>
        <w:t xml:space="preserve">325 million</w:t>
      </w:r>
      <w:r>
        <w:t xml:space="preserve">, versus $285 million in Q2 2025.</w:t>
      </w:r>
    </w:p>
    <w:p>
      <w:pPr>
        <w:pStyle w:val="BodyText"/>
      </w:pPr>
      <w:r>
        <w:t xml:space="preserve">Investors should adjust for the Q1 special equity dividend when evaluating sequential growth. More important than any single quarter is whether the bond portfolio’s book yield continues rising.</w:t>
      </w:r>
    </w:p>
    <w:bookmarkStart w:id="22" w:name="gaap-earnings-will-remain-noisy"/>
    <w:p>
      <w:pPr>
        <w:pStyle w:val="Heading3"/>
      </w:pPr>
      <w:r>
        <w:t xml:space="preserve">GAAP earnings will remain noisy</w:t>
      </w:r>
    </w:p>
    <w:p>
      <w:pPr>
        <w:pStyle w:val="FirstParagraph"/>
      </w:pPr>
      <w:r>
        <w:t xml:space="preserve">At March 31, CINF held a</w:t>
      </w:r>
      <w:r>
        <w:t xml:space="preserve"> </w:t>
      </w:r>
      <w:r>
        <w:rPr>
          <w:b/>
          <w:bCs/>
        </w:rPr>
        <w:t xml:space="preserve">$12.6 billion equity portfolio</w:t>
      </w:r>
      <w:r>
        <w:t xml:space="preserve">, including more than $8 billion of pretax appreciation. Changes in equity-market values run through GAAP earnings and can produce a large difference between net income and operating income.</w:t>
      </w:r>
    </w:p>
    <w:p>
      <w:pPr>
        <w:pStyle w:val="BodyText"/>
      </w:pPr>
      <w:r>
        <w:t xml:space="preserve">Accordingly:</w:t>
      </w:r>
    </w:p>
    <w:p>
      <w:pPr>
        <w:pStyle w:val="Compact"/>
        <w:numPr>
          <w:ilvl w:val="0"/>
          <w:numId w:val="1010"/>
        </w:numPr>
      </w:pPr>
      <w:r>
        <w:t xml:space="preserve">Use</w:t>
      </w:r>
      <w:r>
        <w:t xml:space="preserve"> </w:t>
      </w:r>
      <w:r>
        <w:rPr>
          <w:b/>
          <w:bCs/>
        </w:rPr>
        <w:t xml:space="preserve">non-GAAP operating EPS</w:t>
      </w:r>
      <w:r>
        <w:t xml:space="preserve"> </w:t>
      </w:r>
      <w:r>
        <w:t xml:space="preserve">to assess quarterly insurance and investment operations.</w:t>
      </w:r>
    </w:p>
    <w:p>
      <w:pPr>
        <w:pStyle w:val="Compact"/>
        <w:numPr>
          <w:ilvl w:val="0"/>
          <w:numId w:val="1010"/>
        </w:numPr>
      </w:pPr>
      <w:r>
        <w:t xml:space="preserve">Use</w:t>
      </w:r>
      <w:r>
        <w:t xml:space="preserve"> </w:t>
      </w:r>
      <w:r>
        <w:rPr>
          <w:b/>
          <w:bCs/>
        </w:rPr>
        <w:t xml:space="preserve">book value per share and the value-creation ratio</w:t>
      </w:r>
      <w:r>
        <w:t xml:space="preserve"> </w:t>
      </w:r>
      <w:r>
        <w:t xml:space="preserve">to evaluate the combined effect of underwriting, investment performance and dividends.</w:t>
      </w:r>
    </w:p>
    <w:p>
      <w:pPr>
        <w:pStyle w:val="Compact"/>
        <w:numPr>
          <w:ilvl w:val="0"/>
          <w:numId w:val="1010"/>
        </w:numPr>
      </w:pPr>
      <w:r>
        <w:t xml:space="preserve">Do not treat a GAAP EPS beat driven by unrealized equity gains as equivalent to an operating beat.</w:t>
      </w:r>
    </w:p>
    <w:p>
      <w:r>
        <w:pict>
          <v:rect style="width:0;height:1.5pt" o:hralign="center" o:hrstd="t" o:hr="t"/>
        </w:pict>
      </w:r>
    </w:p>
    <w:bookmarkEnd w:id="22"/>
    <w:bookmarkEnd w:id="23"/>
    <w:bookmarkStart w:id="24" w:name="Xa123a08c72a7b6f398a4160096466b6b2188535"/>
    <w:p>
      <w:pPr>
        <w:pStyle w:val="Heading2"/>
      </w:pPr>
      <w:r>
        <w:t xml:space="preserve">6. Reserve development deserves close attention</w:t>
      </w:r>
    </w:p>
    <w:p>
      <w:pPr>
        <w:pStyle w:val="FirstParagraph"/>
      </w:pPr>
      <w:r>
        <w:t xml:space="preserve">CINF reported</w:t>
      </w:r>
      <w:r>
        <w:t xml:space="preserve"> </w:t>
      </w:r>
      <w:r>
        <w:rPr>
          <w:b/>
          <w:bCs/>
        </w:rPr>
        <w:t xml:space="preserve">$81 million of favorable prior-year reserve development in Q1</w:t>
      </w:r>
      <w:r>
        <w:t xml:space="preserve">, benefiting the combined ratio by 3.2 points. That consisted of:</w:t>
      </w:r>
    </w:p>
    <w:p>
      <w:pPr>
        <w:pStyle w:val="Compact"/>
        <w:numPr>
          <w:ilvl w:val="0"/>
          <w:numId w:val="1011"/>
        </w:numPr>
      </w:pPr>
      <w:r>
        <w:t xml:space="preserve">$72 million favorable development from accident year 2025;</w:t>
      </w:r>
    </w:p>
    <w:p>
      <w:pPr>
        <w:pStyle w:val="Compact"/>
        <w:numPr>
          <w:ilvl w:val="0"/>
          <w:numId w:val="1011"/>
        </w:numPr>
      </w:pPr>
      <w:r>
        <w:t xml:space="preserve">$25 million favorable from 2024; and</w:t>
      </w:r>
    </w:p>
    <w:p>
      <w:pPr>
        <w:pStyle w:val="Compact"/>
        <w:numPr>
          <w:ilvl w:val="0"/>
          <w:numId w:val="1011"/>
        </w:numPr>
      </w:pPr>
      <w:r>
        <w:t xml:space="preserve">$16 million of aggregate unfavorable development from older years.</w:t>
      </w:r>
    </w:p>
    <w:p>
      <w:pPr>
        <w:pStyle w:val="FirstParagraph"/>
      </w:pPr>
      <w:r>
        <w:t xml:space="preserve">Management characterized the older-year movement as spread across several accident years rather than signaling a specific problem. Nevertheless, reserve development is important because casualty severity and litigation trends remain uncertain.</w:t>
      </w:r>
    </w:p>
    <w:p>
      <w:pPr>
        <w:pStyle w:val="BodyText"/>
      </w:pPr>
      <w:r>
        <w:t xml:space="preserve">Q2 2025 benefited from</w:t>
      </w:r>
      <w:r>
        <w:t xml:space="preserve"> </w:t>
      </w:r>
      <w:r>
        <w:rPr>
          <w:b/>
          <w:bCs/>
        </w:rPr>
        <w:t xml:space="preserve">$63 million</w:t>
      </w:r>
      <w:r>
        <w:t xml:space="preserve">, or 2.6 combined-ratio points, of favorable development. A similar benefit in Q2 2026 would be normal. A result dependent on materially larger releases would lower earnings quality, while unfavorable development—particularly in commercial auto, general liability or personal umbrella—would be a significant negative.</w:t>
      </w:r>
    </w:p>
    <w:p>
      <w:r>
        <w:pict>
          <v:rect style="width:0;height:1.5pt" o:hralign="center" o:hrstd="t" o:hr="t"/>
        </w:pict>
      </w:r>
    </w:p>
    <w:bookmarkEnd w:id="24"/>
    <w:bookmarkStart w:id="25" w:name="Xb56871de917387eee865343d3697a81d01480f7"/>
    <w:p>
      <w:pPr>
        <w:pStyle w:val="Heading2"/>
      </w:pPr>
      <w:r>
        <w:t xml:space="preserve">7. Capital is abundant, but the valuation raises the hurdle</w:t>
      </w:r>
    </w:p>
    <w:p>
      <w:pPr>
        <w:pStyle w:val="FirstParagraph"/>
      </w:pPr>
      <w:r>
        <w:t xml:space="preserve">At the end of Q1, CINF reported:</w:t>
      </w:r>
    </w:p>
    <w:p>
      <w:pPr>
        <w:pStyle w:val="Compact"/>
        <w:numPr>
          <w:ilvl w:val="0"/>
          <w:numId w:val="1012"/>
        </w:numPr>
      </w:pPr>
      <w:r>
        <w:rPr>
          <w:b/>
          <w:bCs/>
        </w:rPr>
        <w:t xml:space="preserve">$101.60 of book value per share</w:t>
      </w:r>
      <w:r>
        <w:t xml:space="preserve">;</w:t>
      </w:r>
    </w:p>
    <w:p>
      <w:pPr>
        <w:pStyle w:val="Compact"/>
        <w:numPr>
          <w:ilvl w:val="0"/>
          <w:numId w:val="1012"/>
        </w:numPr>
      </w:pPr>
      <w:r>
        <w:t xml:space="preserve">$15.7 billion of shareholders’ equity;</w:t>
      </w:r>
    </w:p>
    <w:p>
      <w:pPr>
        <w:pStyle w:val="Compact"/>
        <w:numPr>
          <w:ilvl w:val="0"/>
          <w:numId w:val="1012"/>
        </w:numPr>
      </w:pPr>
      <w:r>
        <w:t xml:space="preserve">$5.55 billion of parent-company cash and marketable securities;</w:t>
      </w:r>
    </w:p>
    <w:p>
      <w:pPr>
        <w:pStyle w:val="Compact"/>
        <w:numPr>
          <w:ilvl w:val="0"/>
          <w:numId w:val="1012"/>
        </w:numPr>
      </w:pPr>
      <w:r>
        <w:t xml:space="preserve">A 4.9% debt-to-total-capital ratio.</w:t>
      </w:r>
    </w:p>
    <w:p>
      <w:pPr>
        <w:pStyle w:val="FirstParagraph"/>
      </w:pPr>
      <w:r>
        <w:t xml:space="preserve">Using the July 24 closing price, the stock trades at approximately</w:t>
      </w:r>
      <w:r>
        <w:t xml:space="preserve"> </w:t>
      </w:r>
      <w:r>
        <w:rPr>
          <w:b/>
          <w:bCs/>
        </w:rPr>
        <w:t xml:space="preserve">1.8 times reported Q1 book value</w:t>
      </w:r>
      <w:r>
        <w:t xml:space="preserve">. CINF also repurchased 1.1 million shares in Q1 at an average price of</w:t>
      </w:r>
      <w:r>
        <w:t xml:space="preserve"> </w:t>
      </w:r>
      <w:r>
        <w:rPr>
          <w:b/>
          <w:bCs/>
        </w:rPr>
        <w:t xml:space="preserve">$164.93</w:t>
      </w:r>
      <w:r>
        <w:t xml:space="preserve">, with management describing the activity as “maintenance plus.”</w:t>
      </w:r>
    </w:p>
    <w:p>
      <w:pPr>
        <w:pStyle w:val="BodyText"/>
      </w:pPr>
      <w:r>
        <w:t xml:space="preserve">With the shares now materially above that repurchase price, investors should not assume that Q1’s pace continues. More important will be Q2 book-value growth and whether management still views repurchases as attractive at the current valuation.</w:t>
      </w:r>
    </w:p>
    <w:p>
      <w:pPr>
        <w:pStyle w:val="BodyText"/>
      </w:pPr>
      <w:r>
        <w:t xml:space="preserve">The strong balance sheet remains a strategic advantage: CINF can maintain underwriting capacity, absorb catastrophe volatility, invest through market cycles and continue raising its dividend. But the current share price means a merely adequate quarter may not be enough to generate a strong positive reaction.</w:t>
      </w:r>
    </w:p>
    <w:p>
      <w:r>
        <w:pict>
          <v:rect style="width:0;height:1.5pt" o:hralign="center" o:hrstd="t" o:hr="t"/>
        </w:pict>
      </w:r>
    </w:p>
    <w:bookmarkEnd w:id="25"/>
    <w:bookmarkStart w:id="29" w:name="earnings-scorecard"/>
    <w:p>
      <w:pPr>
        <w:pStyle w:val="Heading2"/>
      </w:pPr>
      <w:r>
        <w:t xml:space="preserve">Earnings scorecard</w:t>
      </w:r>
    </w:p>
    <w:bookmarkStart w:id="26" w:name="bullish-result"/>
    <w:p>
      <w:pPr>
        <w:pStyle w:val="Heading3"/>
      </w:pPr>
      <w:r>
        <w:t xml:space="preserve">Bullish result</w:t>
      </w:r>
    </w:p>
    <w:p>
      <w:pPr>
        <w:pStyle w:val="Compact"/>
        <w:numPr>
          <w:ilvl w:val="0"/>
          <w:numId w:val="1013"/>
        </w:numPr>
      </w:pPr>
      <w:r>
        <w:t xml:space="preserve">Operating EPS above roughly</w:t>
      </w:r>
      <w:r>
        <w:t xml:space="preserve"> </w:t>
      </w:r>
      <w:r>
        <w:rPr>
          <w:b/>
          <w:bCs/>
        </w:rPr>
        <w:t xml:space="preserve">$1.90</w:t>
      </w:r>
      <w:r>
        <w:t xml:space="preserve">.</w:t>
      </w:r>
    </w:p>
    <w:p>
      <w:pPr>
        <w:pStyle w:val="Compact"/>
        <w:numPr>
          <w:ilvl w:val="0"/>
          <w:numId w:val="1013"/>
        </w:numPr>
      </w:pPr>
      <w:r>
        <w:t xml:space="preserve">Combined ratio below</w:t>
      </w:r>
      <w:r>
        <w:t xml:space="preserve"> </w:t>
      </w:r>
      <w:r>
        <w:rPr>
          <w:b/>
          <w:bCs/>
        </w:rPr>
        <w:t xml:space="preserve">95%–96%</w:t>
      </w:r>
      <w:r>
        <w:t xml:space="preserve">.</w:t>
      </w:r>
    </w:p>
    <w:p>
      <w:pPr>
        <w:pStyle w:val="Compact"/>
        <w:numPr>
          <w:ilvl w:val="0"/>
          <w:numId w:val="1013"/>
        </w:numPr>
      </w:pPr>
      <w:r>
        <w:t xml:space="preserve">Ex-cat accident-year ratio below</w:t>
      </w:r>
      <w:r>
        <w:t xml:space="preserve"> </w:t>
      </w:r>
      <w:r>
        <w:rPr>
          <w:b/>
          <w:bCs/>
        </w:rPr>
        <w:t xml:space="preserve">87%–88%</w:t>
      </w:r>
      <w:r>
        <w:t xml:space="preserve">.</w:t>
      </w:r>
    </w:p>
    <w:p>
      <w:pPr>
        <w:pStyle w:val="Compact"/>
        <w:numPr>
          <w:ilvl w:val="0"/>
          <w:numId w:val="1013"/>
        </w:numPr>
      </w:pPr>
      <w:r>
        <w:t xml:space="preserve">Commercial underlying ratio improves from Q1.</w:t>
      </w:r>
    </w:p>
    <w:p>
      <w:pPr>
        <w:pStyle w:val="Compact"/>
        <w:numPr>
          <w:ilvl w:val="0"/>
          <w:numId w:val="1013"/>
        </w:numPr>
      </w:pPr>
      <w:r>
        <w:t xml:space="preserve">Net written-premium growth of at least 7%.</w:t>
      </w:r>
    </w:p>
    <w:p>
      <w:pPr>
        <w:pStyle w:val="Compact"/>
        <w:numPr>
          <w:ilvl w:val="0"/>
          <w:numId w:val="1013"/>
        </w:numPr>
      </w:pPr>
      <w:r>
        <w:t xml:space="preserve">Investment income growth remains in the low- to mid-teens.</w:t>
      </w:r>
    </w:p>
    <w:p>
      <w:pPr>
        <w:pStyle w:val="Compact"/>
        <w:numPr>
          <w:ilvl w:val="0"/>
          <w:numId w:val="1013"/>
        </w:numPr>
      </w:pPr>
      <w:r>
        <w:t xml:space="preserve">Book value rises meaningfully.</w:t>
      </w:r>
    </w:p>
    <w:bookmarkEnd w:id="26"/>
    <w:bookmarkStart w:id="27" w:name="acceptable-result"/>
    <w:p>
      <w:pPr>
        <w:pStyle w:val="Heading3"/>
      </w:pPr>
      <w:r>
        <w:t xml:space="preserve">Acceptable result</w:t>
      </w:r>
    </w:p>
    <w:p>
      <w:pPr>
        <w:pStyle w:val="Compact"/>
        <w:numPr>
          <w:ilvl w:val="0"/>
          <w:numId w:val="1014"/>
        </w:numPr>
      </w:pPr>
      <w:r>
        <w:t xml:space="preserve">Operating EPS around</w:t>
      </w:r>
      <w:r>
        <w:t xml:space="preserve"> </w:t>
      </w:r>
      <m:oMath>
        <m:r>
          <m:t>1.70</m:t>
        </m:r>
        <m:r>
          <m:rPr>
            <m:sty m:val="p"/>
          </m:rPr>
          <m:t>–</m:t>
        </m:r>
      </m:oMath>
      <w:r>
        <w:rPr>
          <w:b/>
          <w:bCs/>
        </w:rPr>
        <w:t xml:space="preserve">1.90</w:t>
      </w:r>
      <w:r>
        <w:t xml:space="preserve">.</w:t>
      </w:r>
    </w:p>
    <w:p>
      <w:pPr>
        <w:pStyle w:val="Compact"/>
        <w:numPr>
          <w:ilvl w:val="0"/>
          <w:numId w:val="1014"/>
        </w:numPr>
      </w:pPr>
      <w:r>
        <w:t xml:space="preserve">Combined ratio of</w:t>
      </w:r>
      <w:r>
        <w:t xml:space="preserve"> </w:t>
      </w:r>
      <w:r>
        <w:rPr>
          <w:b/>
          <w:bCs/>
        </w:rPr>
        <w:t xml:space="preserve">96%–99%</w:t>
      </w:r>
      <w:r>
        <w:t xml:space="preserve">.</w:t>
      </w:r>
    </w:p>
    <w:p>
      <w:pPr>
        <w:pStyle w:val="Compact"/>
        <w:numPr>
          <w:ilvl w:val="0"/>
          <w:numId w:val="1014"/>
        </w:numPr>
      </w:pPr>
      <w:r>
        <w:t xml:space="preserve">Premium growth of 5%–7%.</w:t>
      </w:r>
    </w:p>
    <w:p>
      <w:pPr>
        <w:pStyle w:val="Compact"/>
        <w:numPr>
          <w:ilvl w:val="0"/>
          <w:numId w:val="1014"/>
        </w:numPr>
      </w:pPr>
      <w:r>
        <w:t xml:space="preserve">Catastrophe losses explain most of the margin pressure.</w:t>
      </w:r>
    </w:p>
    <w:p>
      <w:pPr>
        <w:pStyle w:val="Compact"/>
        <w:numPr>
          <w:ilvl w:val="0"/>
          <w:numId w:val="1014"/>
        </w:numPr>
      </w:pPr>
      <w:r>
        <w:t xml:space="preserve">Underlying ratios remain broadly stable.</w:t>
      </w:r>
    </w:p>
    <w:p>
      <w:pPr>
        <w:pStyle w:val="Compact"/>
        <w:numPr>
          <w:ilvl w:val="0"/>
          <w:numId w:val="1014"/>
        </w:numPr>
      </w:pPr>
      <w:r>
        <w:t xml:space="preserve">Continued double-digit investment-income growth.</w:t>
      </w:r>
    </w:p>
    <w:bookmarkEnd w:id="27"/>
    <w:bookmarkStart w:id="28" w:name="bearish-result"/>
    <w:p>
      <w:pPr>
        <w:pStyle w:val="Heading3"/>
      </w:pPr>
      <w:r>
        <w:t xml:space="preserve">Bearish result</w:t>
      </w:r>
    </w:p>
    <w:p>
      <w:pPr>
        <w:pStyle w:val="Compact"/>
        <w:numPr>
          <w:ilvl w:val="0"/>
          <w:numId w:val="1015"/>
        </w:numPr>
      </w:pPr>
      <w:r>
        <w:t xml:space="preserve">Combined ratio above 100%.</w:t>
      </w:r>
    </w:p>
    <w:p>
      <w:pPr>
        <w:pStyle w:val="Compact"/>
        <w:numPr>
          <w:ilvl w:val="0"/>
          <w:numId w:val="1015"/>
        </w:numPr>
      </w:pPr>
      <w:r>
        <w:t xml:space="preserve">Commercial ex-cat accident-year ratio deteriorates beyond Q1’s 93.2%.</w:t>
      </w:r>
    </w:p>
    <w:p>
      <w:pPr>
        <w:pStyle w:val="Compact"/>
        <w:numPr>
          <w:ilvl w:val="0"/>
          <w:numId w:val="1015"/>
        </w:numPr>
      </w:pPr>
      <w:r>
        <w:t xml:space="preserve">Material adverse casualty-reserve development.</w:t>
      </w:r>
    </w:p>
    <w:p>
      <w:pPr>
        <w:pStyle w:val="Compact"/>
        <w:numPr>
          <w:ilvl w:val="0"/>
          <w:numId w:val="1015"/>
        </w:numPr>
      </w:pPr>
      <w:r>
        <w:t xml:space="preserve">Premium growth drops below the mid-single digits without evidence that the slowdown is voluntary.</w:t>
      </w:r>
    </w:p>
    <w:p>
      <w:pPr>
        <w:pStyle w:val="Compact"/>
        <w:numPr>
          <w:ilvl w:val="0"/>
          <w:numId w:val="1015"/>
        </w:numPr>
      </w:pPr>
      <w:r>
        <w:t xml:space="preserve">Personal-lines margins weaken despite continued renewal rate.</w:t>
      </w:r>
    </w:p>
    <w:p>
      <w:pPr>
        <w:pStyle w:val="Compact"/>
        <w:numPr>
          <w:ilvl w:val="0"/>
          <w:numId w:val="1015"/>
        </w:numPr>
      </w:pPr>
      <w:r>
        <w:t xml:space="preserve">Book value disappoints after the stock’s recent appreciation.</w:t>
      </w:r>
    </w:p>
    <w:p>
      <w:r>
        <w:pict>
          <v:rect style="width:0;height:1.5pt" o:hralign="center" o:hrstd="t" o:hr="t"/>
        </w:pict>
      </w:r>
    </w:p>
    <w:bookmarkEnd w:id="28"/>
    <w:bookmarkEnd w:id="29"/>
    <w:bookmarkStart w:id="30" w:name="bottom-line"/>
    <w:p>
      <w:pPr>
        <w:pStyle w:val="Heading2"/>
      </w:pPr>
      <w:r>
        <w:t xml:space="preserve">Bottom line</w:t>
      </w:r>
    </w:p>
    <w:p>
      <w:pPr>
        <w:pStyle w:val="FirstParagraph"/>
      </w:pPr>
      <w:r>
        <w:t xml:space="preserve">The most likely Q2 debate will be</w:t>
      </w:r>
      <w:r>
        <w:t xml:space="preserve"> </w:t>
      </w:r>
      <w:r>
        <w:rPr>
          <w:b/>
          <w:bCs/>
        </w:rPr>
        <w:t xml:space="preserve">underwriting quality versus weather volatility</w:t>
      </w:r>
      <w:r>
        <w:t xml:space="preserve">. CINF does not need to reproduce Q1’s operating EPS to deliver a sound report; seasonal catastrophe losses make that a high hurdle. It does need to show that its underlying loss ratios remain healthy while premium growth normalizes.</w:t>
      </w:r>
    </w:p>
    <w:p>
      <w:pPr>
        <w:pStyle w:val="BodyText"/>
      </w:pPr>
      <w:r>
        <w:t xml:space="preserve">The single most important number is the</w:t>
      </w:r>
      <w:r>
        <w:t xml:space="preserve"> </w:t>
      </w:r>
      <w:r>
        <w:rPr>
          <w:b/>
          <w:bCs/>
        </w:rPr>
        <w:t xml:space="preserve">current accident-year combined ratio before catastrophe losses</w:t>
      </w:r>
      <w:r>
        <w:t xml:space="preserve">, followed by the commercial-lines version of that metric. If those ratios hold near the high-80s consolidated and improve in commercial lines, a cat-driven EPS miss could be relatively benign. If underlying commercial loss trends deteriorate, even a headline beat would deserve skepticism.</w:t>
      </w:r>
    </w:p>
    <w:p>
      <w:pPr>
        <w:pStyle w:val="BodyText"/>
      </w:pPr>
      <w:r>
        <w:t xml:space="preserve">Given the stock’s roughly 13% year-to-date advance and approximately 1.8-times-book valuation, the setup appears balanced to slightly demanding:</w:t>
      </w:r>
      <w:r>
        <w:t xml:space="preserve"> </w:t>
      </w:r>
      <w:r>
        <w:rPr>
          <w:b/>
          <w:bCs/>
        </w:rPr>
        <w:t xml:space="preserve">a clean sub-97% combined ratio and reassuring commentary on commercial casualty would support the shares; a reserve or underlying-margin disappointment would create the larger downside risk.</w:t>
      </w:r>
    </w:p>
    <w:bookmarkEnd w:id="30"/>
    <w:bookmarkEnd w:id="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3" Target="https://ca.marketscreener.com/news/aon-report-finds-below-average-global-catastrophe-losses-masked-significant-regional-impacts-in-h1-ce7f51d9df88f024?utm_source=openai" TargetMode="External" /><Relationship Type="http://schemas.openxmlformats.org/officeDocument/2006/relationships/hyperlink" Id="rId14" Target="https://investors.cinfin.com/2025-07-28-Cincinnati-Financial-Reports-Second-Quarter-2025-Results?asPDF=1&amp;utm_source=openai" TargetMode="External" /><Relationship Type="http://schemas.openxmlformats.org/officeDocument/2006/relationships/hyperlink" Id="rId12" Target="https://investors.cinfin.com/2026-04-27-Cincinnati-Financial-Reports-First-Quarter-2026-Results?utm_source=openai" TargetMode="External" /><Relationship Type="http://schemas.openxmlformats.org/officeDocument/2006/relationships/hyperlink" Id="rId10" Target="https://www.benzinga.com/quote/CINF/earnings?utm_source=openai" TargetMode="External" /></Relationships>
</file>

<file path=word/_rels/footnotes.xml.rels><?xml version="1.0" encoding="UTF-8"?><Relationships xmlns="http://schemas.openxmlformats.org/package/2006/relationships"><Relationship Type="http://schemas.openxmlformats.org/officeDocument/2006/relationships/hyperlink" Id="rId13" Target="https://ca.marketscreener.com/news/aon-report-finds-below-average-global-catastrophe-losses-masked-significant-regional-impacts-in-h1-ce7f51d9df88f024?utm_source=openai" TargetMode="External" /><Relationship Type="http://schemas.openxmlformats.org/officeDocument/2006/relationships/hyperlink" Id="rId14" Target="https://investors.cinfin.com/2025-07-28-Cincinnati-Financial-Reports-Second-Quarter-2025-Results?asPDF=1&amp;utm_source=openai" TargetMode="External" /><Relationship Type="http://schemas.openxmlformats.org/officeDocument/2006/relationships/hyperlink" Id="rId12" Target="https://investors.cinfin.com/2026-04-27-Cincinnati-Financial-Reports-First-Quarter-2026-Results?utm_source=openai" TargetMode="External" /><Relationship Type="http://schemas.openxmlformats.org/officeDocument/2006/relationships/hyperlink" Id="rId10" Target="https://www.benzinga.com/quote/CINF/earning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2026-07-27T00:15:03Z</dcterms:created>
  <dcterms:modified xsi:type="dcterms:W3CDTF">2026-07-27T00:15:03Z</dcterms:modified>
</cp:coreProperties>
</file>

<file path=docProps/custom.xml><?xml version="1.0" encoding="utf-8"?>
<Properties xmlns="http://schemas.openxmlformats.org/officeDocument/2006/custom-properties" xmlns:vt="http://schemas.openxmlformats.org/officeDocument/2006/docPropsVTypes"/>
</file>