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9564876a339a0fc04be8191d6e5fa7a3581158"/>
    <w:p>
      <w:pPr>
        <w:pStyle w:val="Heading1"/>
      </w:pPr>
      <w:r>
        <w:t xml:space="preserve">Cincinnati Financial (NASDAQ: CINF) — 2Q26 Earnings Preview</w:t>
      </w:r>
    </w:p>
    <w:p>
      <w:pPr>
        <w:pStyle w:val="BlockText"/>
      </w:pPr>
      <w:r>
        <w:rPr>
          <w:b/>
          <w:bCs/>
        </w:rPr>
        <w:t xml:space="preserve">Timing note:</w:t>
      </w:r>
      <w:r>
        <w:t xml:space="preserve"> </w:t>
      </w:r>
      <w:r>
        <w:t xml:space="preserve">Today is</w:t>
      </w:r>
      <w:r>
        <w:t xml:space="preserve"> </w:t>
      </w:r>
      <w:r>
        <w:rPr>
          <w:b/>
          <w:bCs/>
        </w:rPr>
        <w:t xml:space="preserve">Monday, July 27, 2026</w:t>
      </w:r>
      <w:r>
        <w:t xml:space="preserve">. The event date provided—</w:t>
      </w:r>
      <w:r>
        <w:rPr>
          <w:b/>
          <w:bCs/>
        </w:rPr>
        <w:t xml:space="preserve">July 27, 2026</w:t>
      </w:r>
      <w:r>
        <w:t xml:space="preserve">—is therefore</w:t>
      </w:r>
      <w:r>
        <w:t xml:space="preserve"> </w:t>
      </w:r>
      <w:r>
        <w:rPr>
          <w:b/>
          <w:bCs/>
        </w:rPr>
        <w:t xml:space="preserve">today, not tomorrow</w:t>
      </w:r>
      <w:r>
        <w:t xml:space="preserve">. This preview uses information available ahead of the reported 2Q26 event.</w:t>
      </w:r>
    </w:p>
    <w:bookmarkStart w:id="9" w:name="bottom-line"/>
    <w:p>
      <w:pPr>
        <w:pStyle w:val="Heading2"/>
      </w:pPr>
      <w:r>
        <w:t xml:space="preserve">Bottom line</w:t>
      </w:r>
    </w:p>
    <w:p>
      <w:pPr>
        <w:pStyle w:val="FirstParagraph"/>
      </w:pPr>
      <w:r>
        <w:t xml:space="preserve">CINF enters 2Q26 with a much better underlying earnings base than it had a year ago: personal-lines remediation is working, investment income is compounding higher, and the company retains unusually strong capital flexibility. The central question is no longer whether CINF can produce underwriting profitability; it is whether it can</w:t>
      </w:r>
      <w:r>
        <w:t xml:space="preserve"> </w:t>
      </w:r>
      <w:r>
        <w:rPr>
          <w:b/>
          <w:bCs/>
        </w:rPr>
        <w:t xml:space="preserve">hold its improved underlying loss ratios and sustain premium growth as commercial pricing and new-business activity decelerate</w:t>
      </w:r>
      <w:r>
        <w:t xml:space="preserve">.</w:t>
      </w:r>
    </w:p>
    <w:p>
      <w:pPr>
        <w:pStyle w:val="BodyText"/>
      </w:pPr>
      <w:r>
        <w:t xml:space="preserve">The stock has also already reflected considerable optimism. CINF closed at</w:t>
      </w:r>
      <w:r>
        <w:t xml:space="preserve"> </w:t>
      </w:r>
      <w:r>
        <w:rPr>
          <w:b/>
          <w:bCs/>
        </w:rPr>
        <w:t xml:space="preserve">$182.84 on July 24</w:t>
      </w:r>
      <w:r>
        <w:t xml:space="preserve">, up about</w:t>
      </w:r>
      <w:r>
        <w:t xml:space="preserve"> </w:t>
      </w:r>
      <w:r>
        <w:rPr>
          <w:b/>
          <w:bCs/>
        </w:rPr>
        <w:t xml:space="preserve">13% year to date</w:t>
      </w:r>
      <w:r>
        <w:t xml:space="preserve">, roughly</w:t>
      </w:r>
      <w:r>
        <w:t xml:space="preserve"> </w:t>
      </w:r>
      <w:r>
        <w:rPr>
          <w:b/>
          <w:bCs/>
        </w:rPr>
        <w:t xml:space="preserve">11% above its April 28 post-1Q-call close</w:t>
      </w:r>
      <w:r>
        <w:t xml:space="preserve">, and only about</w:t>
      </w:r>
      <w:r>
        <w:t xml:space="preserve"> </w:t>
      </w:r>
      <w:r>
        <w:rPr>
          <w:b/>
          <w:bCs/>
        </w:rPr>
        <w:t xml:space="preserve">5% below</w:t>
      </w:r>
      <w:r>
        <w:t xml:space="preserve"> </w:t>
      </w:r>
      <w:r>
        <w:t xml:space="preserve">its July 2 high of $192.03. At that price, the stock is roughly</w:t>
      </w:r>
      <w:r>
        <w:t xml:space="preserve"> </w:t>
      </w:r>
      <w:r>
        <w:rPr>
          <w:b/>
          <w:bCs/>
        </w:rPr>
        <w:t xml:space="preserve">1.8x March 31 book value per share of $101.60</w:t>
      </w:r>
      <w:r>
        <w:t xml:space="preserve">—so the market is likely to focus more on earnings quality, reserve adequacy, and forward growth than on a headline EPS beat driven by investment marks.</w:t>
      </w:r>
    </w:p>
    <w:bookmarkEnd w:id="9"/>
    <w:bookmarkStart w:id="15" w:name="what-matters-most-this-quarter"/>
    <w:p>
      <w:pPr>
        <w:pStyle w:val="Heading2"/>
      </w:pPr>
      <w:r>
        <w:t xml:space="preserve">What matters most this quarter</w:t>
      </w:r>
    </w:p>
    <w:bookmarkStart w:id="10" w:name="X6f65c9b39246c3d21dafc6cf7fcfc82906695a5"/>
    <w:p>
      <w:pPr>
        <w:pStyle w:val="Heading3"/>
      </w:pPr>
      <w:r>
        <w:t xml:space="preserve">1. Underlying combined ratio: can the 1Q improvement persist?</w:t>
      </w:r>
    </w:p>
    <w:p>
      <w:pPr>
        <w:pStyle w:val="FirstParagraph"/>
      </w:pPr>
      <w:r>
        <w:t xml:space="preserve">CINF delivered a</w:t>
      </w:r>
      <w:r>
        <w:t xml:space="preserve"> </w:t>
      </w:r>
      <w:r>
        <w:rPr>
          <w:b/>
          <w:bCs/>
        </w:rPr>
        <w:t xml:space="preserve">95.6% consolidated property-casualty combined ratio</w:t>
      </w:r>
      <w:r>
        <w:t xml:space="preserve"> </w:t>
      </w:r>
      <w:r>
        <w:t xml:space="preserve">in 1Q26, versus 113.3% in 1Q25. More important, its</w:t>
      </w:r>
      <w:r>
        <w:t xml:space="preserve"> </w:t>
      </w:r>
      <w:r>
        <w:rPr>
          <w:b/>
          <w:bCs/>
        </w:rPr>
        <w:t xml:space="preserve">current-accident-year combined ratio excluding catastrophes was 87.5%</w:t>
      </w:r>
      <w:r>
        <w:t xml:space="preserve">, improving 3.0 points year over year.</w:t>
      </w:r>
    </w:p>
    <w:p>
      <w:pPr>
        <w:pStyle w:val="BodyText"/>
      </w:pPr>
      <w:r>
        <w:t xml:space="preserve">That was an excellent outcome, but 2Q sets a tougher comparison: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2Q25</w:t>
            </w:r>
          </w:p>
        </w:tc>
        <w:tc>
          <w:tcPr/>
          <w:p>
            <w:pPr>
              <w:pStyle w:val="Compact"/>
            </w:pPr>
            <w:r>
              <w:t xml:space="preserve">Why it matters for 2Q26</w:t>
            </w:r>
          </w:p>
        </w:tc>
      </w:tr>
      <w:tr>
        <w:tc>
          <w:tcPr/>
          <w:p>
            <w:pPr>
              <w:pStyle w:val="Compact"/>
            </w:pPr>
            <w:r>
              <w:t xml:space="preserve">Consolidated combined ratio</w:t>
            </w:r>
          </w:p>
        </w:tc>
        <w:tc>
          <w:tcPr/>
          <w:p>
            <w:pPr>
              <w:pStyle w:val="Compact"/>
              <w:jc w:val="right"/>
            </w:pPr>
            <w:r>
              <w:t xml:space="preserve">95.6%</w:t>
            </w:r>
          </w:p>
        </w:tc>
        <w:tc>
          <w:tcPr/>
          <w:p>
            <w:pPr>
              <w:pStyle w:val="Compact"/>
              <w:jc w:val="right"/>
            </w:pPr>
            <w:r>
              <w:t xml:space="preserve">94.9%</w:t>
            </w:r>
          </w:p>
        </w:tc>
        <w:tc>
          <w:tcPr/>
          <w:p>
            <w:pPr>
              <w:pStyle w:val="Compact"/>
            </w:pPr>
            <w:r>
              <w:t xml:space="preserve">A mid-90s ratio is a reasonable quality marker, but catastrophe experience will determine the reported result.</w:t>
            </w:r>
          </w:p>
        </w:tc>
      </w:tr>
      <w:tr>
        <w:tc>
          <w:tcPr/>
          <w:p>
            <w:pPr>
              <w:pStyle w:val="Compact"/>
            </w:pPr>
            <w:r>
              <w:t xml:space="preserve">Current accident year ex-cat combined ratio</w:t>
            </w:r>
          </w:p>
        </w:tc>
        <w:tc>
          <w:tcPr/>
          <w:p>
            <w:pPr>
              <w:pStyle w:val="Compact"/>
              <w:jc w:val="right"/>
            </w:pPr>
            <w:r>
              <w:t xml:space="preserve">87.5%</w:t>
            </w:r>
          </w:p>
        </w:tc>
        <w:tc>
          <w:tcPr/>
          <w:p>
            <w:pPr>
              <w:pStyle w:val="Compact"/>
              <w:jc w:val="right"/>
            </w:pPr>
            <w:r>
              <w:t xml:space="preserve">85.1%</w:t>
            </w:r>
          </w:p>
        </w:tc>
        <w:tc>
          <w:tcPr/>
          <w:p>
            <w:pPr>
              <w:pStyle w:val="Compact"/>
            </w:pPr>
            <w:r>
              <w:t xml:space="preserve">The 2Q25 underwriting baseline was already strong.</w:t>
            </w:r>
          </w:p>
        </w:tc>
      </w:tr>
      <w:tr>
        <w:tc>
          <w:tcPr/>
          <w:p>
            <w:pPr>
              <w:pStyle w:val="Compact"/>
            </w:pPr>
            <w:r>
              <w:t xml:space="preserve">Catastrophe-loss ratio</w:t>
            </w:r>
          </w:p>
        </w:tc>
        <w:tc>
          <w:tcPr/>
          <w:p>
            <w:pPr>
              <w:pStyle w:val="Compact"/>
              <w:jc w:val="right"/>
            </w:pPr>
            <w:r>
              <w:t xml:space="preserve">11.3%</w:t>
            </w:r>
          </w:p>
        </w:tc>
        <w:tc>
          <w:tcPr/>
          <w:p>
            <w:pPr>
              <w:pStyle w:val="Compact"/>
              <w:jc w:val="right"/>
            </w:pPr>
            <w:r>
              <w:t xml:space="preserve">12.4%</w:t>
            </w:r>
          </w:p>
        </w:tc>
        <w:tc>
          <w:tcPr/>
          <w:p>
            <w:pPr>
              <w:pStyle w:val="Compact"/>
            </w:pPr>
            <w:r>
              <w:t xml:space="preserve">A roughly normal catastrophe quarter could still produce a solid reported result.</w:t>
            </w:r>
          </w:p>
        </w:tc>
      </w:tr>
      <w:tr>
        <w:tc>
          <w:tcPr/>
          <w:p>
            <w:pPr>
              <w:pStyle w:val="Compact"/>
            </w:pPr>
            <w:r>
              <w:t xml:space="preserve">Favorable prior-year development</w:t>
            </w:r>
          </w:p>
        </w:tc>
        <w:tc>
          <w:tcPr/>
          <w:p>
            <w:pPr>
              <w:pStyle w:val="Compact"/>
              <w:jc w:val="right"/>
            </w:pPr>
            <w:r>
              <w:t xml:space="preserve">3.2 pts</w:t>
            </w:r>
          </w:p>
        </w:tc>
        <w:tc>
          <w:tcPr/>
          <w:p>
            <w:pPr>
              <w:pStyle w:val="Compact"/>
              <w:jc w:val="right"/>
            </w:pPr>
            <w:r>
              <w:t xml:space="preserve">2.6 pts</w:t>
            </w:r>
          </w:p>
        </w:tc>
        <w:tc>
          <w:tcPr/>
          <w:p>
            <w:pPr>
              <w:pStyle w:val="Compact"/>
            </w:pPr>
            <w:r>
              <w:t xml:space="preserve">Investors should distinguish recurring underwriting performance from reserve releases.</w:t>
            </w:r>
          </w:p>
        </w:tc>
      </w:tr>
    </w:tbl>
    <w:p>
      <w:pPr>
        <w:pStyle w:val="BodyText"/>
      </w:pPr>
      <w:r>
        <w:t xml:space="preserve">A key interpretation: CINF does not need to replicate the unusually favorable year-over-year swing seen in 1Q to report a good 2Q. It needs to demonstrate that its ex-cat loss ratio remains consistent with its long-term</w:t>
      </w:r>
      <w:r>
        <w:t xml:space="preserve"> </w:t>
      </w:r>
      <w:r>
        <w:rPr>
          <w:b/>
          <w:bCs/>
        </w:rPr>
        <w:t xml:space="preserve">92%–98% combined-ratio</w:t>
      </w:r>
      <w:r>
        <w:t xml:space="preserve"> </w:t>
      </w:r>
      <w:r>
        <w:t xml:space="preserve">objective despite a more competitive market.</w:t>
      </w:r>
    </w:p>
    <w:bookmarkEnd w:id="10"/>
    <w:bookmarkStart w:id="11" w:name="Xf425bc59982a1614e85281cc8340709d838abe3"/>
    <w:p>
      <w:pPr>
        <w:pStyle w:val="Heading3"/>
      </w:pPr>
      <w:r>
        <w:t xml:space="preserve">2. Personal lines: the turnaround needs to remain visible</w:t>
      </w:r>
    </w:p>
    <w:p>
      <w:pPr>
        <w:pStyle w:val="FirstParagraph"/>
      </w:pPr>
      <w:r>
        <w:t xml:space="preserve">Personal lines was the biggest contributor to the 1Q recovery:</w:t>
      </w:r>
    </w:p>
    <w:p>
      <w:pPr>
        <w:pStyle w:val="Compact"/>
        <w:numPr>
          <w:ilvl w:val="0"/>
          <w:numId w:val="1001"/>
        </w:numPr>
      </w:pPr>
      <w:r>
        <w:rPr>
          <w:b/>
          <w:bCs/>
        </w:rPr>
        <w:t xml:space="preserve">Net written premiums increased 15%</w:t>
      </w:r>
      <w:r>
        <w:t xml:space="preserve"> </w:t>
      </w:r>
      <w:r>
        <w:t xml:space="preserve">year over year.</w:t>
      </w:r>
    </w:p>
    <w:p>
      <w:pPr>
        <w:pStyle w:val="Compact"/>
        <w:numPr>
          <w:ilvl w:val="0"/>
          <w:numId w:val="1001"/>
        </w:numPr>
      </w:pPr>
      <w:r>
        <w:t xml:space="preserve">The reported combined ratio improved to</w:t>
      </w:r>
      <w:r>
        <w:t xml:space="preserve"> </w:t>
      </w:r>
      <w:r>
        <w:rPr>
          <w:b/>
          <w:bCs/>
        </w:rPr>
        <w:t xml:space="preserve">96.8%</w:t>
      </w:r>
      <w:r>
        <w:t xml:space="preserve"> </w:t>
      </w:r>
      <w:r>
        <w:t xml:space="preserve">from 151.3%.</w:t>
      </w:r>
    </w:p>
    <w:p>
      <w:pPr>
        <w:pStyle w:val="Compact"/>
        <w:numPr>
          <w:ilvl w:val="0"/>
          <w:numId w:val="1001"/>
        </w:numPr>
      </w:pPr>
      <w:r>
        <w:t xml:space="preserve">The current-accident-year ex-cat ratio improved to</w:t>
      </w:r>
      <w:r>
        <w:t xml:space="preserve"> </w:t>
      </w:r>
      <w:r>
        <w:rPr>
          <w:b/>
          <w:bCs/>
        </w:rPr>
        <w:t xml:space="preserve">80.5%</w:t>
      </w:r>
      <w:r>
        <w:t xml:space="preserve"> </w:t>
      </w:r>
      <w:r>
        <w:t xml:space="preserve">from 93.4%.</w:t>
      </w:r>
    </w:p>
    <w:p>
      <w:pPr>
        <w:pStyle w:val="Compact"/>
        <w:numPr>
          <w:ilvl w:val="0"/>
          <w:numId w:val="1001"/>
        </w:numPr>
      </w:pPr>
      <w:r>
        <w:t xml:space="preserve">Renewal rate increases remained in the</w:t>
      </w:r>
      <w:r>
        <w:t xml:space="preserve"> </w:t>
      </w:r>
      <w:r>
        <w:rPr>
          <w:b/>
          <w:bCs/>
        </w:rPr>
        <w:t xml:space="preserve">high-single-digit</w:t>
      </w:r>
      <w:r>
        <w:t xml:space="preserve"> </w:t>
      </w:r>
      <w:r>
        <w:t xml:space="preserve">range for both homeowners and personal auto.</w:t>
      </w:r>
    </w:p>
    <w:p>
      <w:pPr>
        <w:pStyle w:val="FirstParagraph"/>
      </w:pPr>
      <w:r>
        <w:t xml:space="preserve">The 1Q result was helped by easy comparisons from the 2025 California wildfire/reinsurance reinstatement effects, so investors should not extrapolate the full magnitude of the improvement. Still, the underlying direction is encouraging: rate, tighter risk selection, more refined pricing, and a focus on package business appear to be producing a materially more profitable personal-lines book.</w:t>
      </w:r>
    </w:p>
    <w:p>
      <w:pPr>
        <w:pStyle w:val="BodyText"/>
      </w:pPr>
      <w:r>
        <w:rPr>
          <w:b/>
          <w:bCs/>
        </w:rPr>
        <w:t xml:space="preserve">Watch items for 2Q:</w:t>
      </w:r>
    </w:p>
    <w:p>
      <w:pPr>
        <w:pStyle w:val="Compact"/>
        <w:numPr>
          <w:ilvl w:val="0"/>
          <w:numId w:val="1002"/>
        </w:numPr>
      </w:pPr>
      <w:r>
        <w:t xml:space="preserve">Personal auto and homeowner renewal-rate trends.</w:t>
      </w:r>
    </w:p>
    <w:p>
      <w:pPr>
        <w:pStyle w:val="Compact"/>
        <w:numPr>
          <w:ilvl w:val="0"/>
          <w:numId w:val="1002"/>
        </w:numPr>
      </w:pPr>
      <w:r>
        <w:t xml:space="preserve">Growth and profitability of Cincinnati Private Client/high-net-worth homeowners.</w:t>
      </w:r>
    </w:p>
    <w:p>
      <w:pPr>
        <w:pStyle w:val="Compact"/>
        <w:numPr>
          <w:ilvl w:val="0"/>
          <w:numId w:val="1002"/>
        </w:numPr>
      </w:pPr>
      <w:r>
        <w:t xml:space="preserve">New-business production, which fell</w:t>
      </w:r>
      <w:r>
        <w:t xml:space="preserve"> </w:t>
      </w:r>
      <w:r>
        <w:rPr>
          <w:b/>
          <w:bCs/>
        </w:rPr>
        <w:t xml:space="preserve">40%</w:t>
      </w:r>
      <w:r>
        <w:t xml:space="preserve"> </w:t>
      </w:r>
      <w:r>
        <w:t xml:space="preserve">in 1Q.</w:t>
      </w:r>
    </w:p>
    <w:p>
      <w:pPr>
        <w:pStyle w:val="Compact"/>
        <w:numPr>
          <w:ilvl w:val="0"/>
          <w:numId w:val="1002"/>
        </w:numPr>
      </w:pPr>
      <w:r>
        <w:t xml:space="preserve">Catastrophe losses, particularly homeowners exposure.</w:t>
      </w:r>
    </w:p>
    <w:p>
      <w:pPr>
        <w:pStyle w:val="Compact"/>
        <w:numPr>
          <w:ilvl w:val="0"/>
          <w:numId w:val="1002"/>
        </w:numPr>
      </w:pPr>
      <w:r>
        <w:t xml:space="preserve">Any indication that California competition is re-emerging faster than anticipated.</w:t>
      </w:r>
    </w:p>
    <w:p>
      <w:pPr>
        <w:pStyle w:val="FirstParagraph"/>
      </w:pPr>
      <w:r>
        <w:t xml:space="preserve">A personal-lines combined ratio below 100% again—without relying excessively on favorable reserve development—would reinforce the turnaround thesis.</w:t>
      </w:r>
    </w:p>
    <w:bookmarkEnd w:id="11"/>
    <w:bookmarkStart w:id="12" w:name="X4704f5864a7a4242f65c220b02dca5dabdd4f7c"/>
    <w:p>
      <w:pPr>
        <w:pStyle w:val="Heading3"/>
      </w:pPr>
      <w:r>
        <w:t xml:space="preserve">3. Commercial lines: the pressure point</w:t>
      </w:r>
    </w:p>
    <w:p>
      <w:pPr>
        <w:pStyle w:val="FirstParagraph"/>
      </w:pPr>
      <w:r>
        <w:t xml:space="preserve">Commercial is the most important potential offset to personal-lines strength. In 1Q26:</w:t>
      </w:r>
    </w:p>
    <w:p>
      <w:pPr>
        <w:pStyle w:val="Compact"/>
        <w:numPr>
          <w:ilvl w:val="0"/>
          <w:numId w:val="1003"/>
        </w:numPr>
      </w:pPr>
      <w:r>
        <w:t xml:space="preserve">Net written premiums grew only</w:t>
      </w:r>
      <w:r>
        <w:t xml:space="preserve"> </w:t>
      </w:r>
      <w:r>
        <w:rPr>
          <w:b/>
          <w:bCs/>
        </w:rPr>
        <w:t xml:space="preserve">3%</w:t>
      </w:r>
      <w:r>
        <w:t xml:space="preserve">.</w:t>
      </w:r>
    </w:p>
    <w:p>
      <w:pPr>
        <w:pStyle w:val="Compact"/>
        <w:numPr>
          <w:ilvl w:val="0"/>
          <w:numId w:val="1003"/>
        </w:numPr>
      </w:pPr>
      <w:r>
        <w:t xml:space="preserve">The combined ratio was</w:t>
      </w:r>
      <w:r>
        <w:t xml:space="preserve"> </w:t>
      </w:r>
      <w:r>
        <w:rPr>
          <w:b/>
          <w:bCs/>
        </w:rPr>
        <w:t xml:space="preserve">98.6%</w:t>
      </w:r>
      <w:r>
        <w:t xml:space="preserve">, up from 91.9%.</w:t>
      </w:r>
    </w:p>
    <w:p>
      <w:pPr>
        <w:pStyle w:val="Compact"/>
        <w:numPr>
          <w:ilvl w:val="0"/>
          <w:numId w:val="1003"/>
        </w:numPr>
      </w:pPr>
      <w:r>
        <w:t xml:space="preserve">The current-accident-year ex-cat combined ratio was</w:t>
      </w:r>
      <w:r>
        <w:t xml:space="preserve"> </w:t>
      </w:r>
      <w:r>
        <w:rPr>
          <w:b/>
          <w:bCs/>
        </w:rPr>
        <w:t xml:space="preserve">93.2%</w:t>
      </w:r>
      <w:r>
        <w:t xml:space="preserve">, worsening 2.5 points.</w:t>
      </w:r>
    </w:p>
    <w:p>
      <w:pPr>
        <w:pStyle w:val="Compact"/>
        <w:numPr>
          <w:ilvl w:val="0"/>
          <w:numId w:val="1003"/>
        </w:numPr>
      </w:pPr>
      <w:r>
        <w:t xml:space="preserve">Commercial renewal pricing was near the</w:t>
      </w:r>
      <w:r>
        <w:t xml:space="preserve"> </w:t>
      </w:r>
      <w:r>
        <w:rPr>
          <w:b/>
          <w:bCs/>
        </w:rPr>
        <w:t xml:space="preserve">high end of the low-single-digit range</w:t>
      </w:r>
      <w:r>
        <w:t xml:space="preserve"> </w:t>
      </w:r>
      <w:r>
        <w:t xml:space="preserve">on a reported basis.</w:t>
      </w:r>
    </w:p>
    <w:p>
      <w:pPr>
        <w:pStyle w:val="FirstParagraph"/>
      </w:pPr>
      <w:r>
        <w:t xml:space="preserve">Management’s commentary was more nuanced than the headline pricing figure: expiring commercial casualty, property, and auto policies reportedly received</w:t>
      </w:r>
      <w:r>
        <w:t xml:space="preserve"> </w:t>
      </w:r>
      <w:r>
        <w:rPr>
          <w:b/>
          <w:bCs/>
        </w:rPr>
        <w:t xml:space="preserve">mid-single-digit</w:t>
      </w:r>
      <w:r>
        <w:t xml:space="preserve"> </w:t>
      </w:r>
      <w:r>
        <w:t xml:space="preserve">increases, while workers’ compensation pricing declined in the mid-single digits. The issue is that competition appears most acute on larger accounts and commercial property, where CINF has been deliberately expanding capabilities.</w:t>
      </w:r>
    </w:p>
    <w:p>
      <w:pPr>
        <w:pStyle w:val="BodyText"/>
      </w:pPr>
      <w:r>
        <w:t xml:space="preserve">The 2Q call should clarify whether the modest commercial premium growth reflects prudent underwriting discipline—which would be constructive—or whether competitive pricing is beginning to constrain both growth and expected margins.</w:t>
      </w:r>
    </w:p>
    <w:p>
      <w:pPr>
        <w:pStyle w:val="BodyText"/>
      </w:pPr>
      <w:r>
        <w:rPr>
          <w:b/>
          <w:bCs/>
        </w:rPr>
        <w:t xml:space="preserve">Most important commercial indicators:</w:t>
      </w:r>
    </w:p>
    <w:p>
      <w:pPr>
        <w:pStyle w:val="Compact"/>
        <w:numPr>
          <w:ilvl w:val="0"/>
          <w:numId w:val="1004"/>
        </w:numPr>
      </w:pPr>
      <w:r>
        <w:t xml:space="preserve">Current accident year ex-cat loss ratio.</w:t>
      </w:r>
    </w:p>
    <w:p>
      <w:pPr>
        <w:pStyle w:val="Compact"/>
        <w:numPr>
          <w:ilvl w:val="0"/>
          <w:numId w:val="1004"/>
        </w:numPr>
      </w:pPr>
      <w:r>
        <w:t xml:space="preserve">Commercial casualty and auto reserve commentary.</w:t>
      </w:r>
    </w:p>
    <w:p>
      <w:pPr>
        <w:pStyle w:val="Compact"/>
        <w:numPr>
          <w:ilvl w:val="0"/>
          <w:numId w:val="1004"/>
        </w:numPr>
      </w:pPr>
      <w:r>
        <w:t xml:space="preserve">New-business trends, especially for larger accounts.</w:t>
      </w:r>
    </w:p>
    <w:p>
      <w:pPr>
        <w:pStyle w:val="Compact"/>
        <w:numPr>
          <w:ilvl w:val="0"/>
          <w:numId w:val="1004"/>
        </w:numPr>
      </w:pPr>
      <w:r>
        <w:t xml:space="preserve">Retention and pricing trends by line.</w:t>
      </w:r>
    </w:p>
    <w:p>
      <w:pPr>
        <w:pStyle w:val="Compact"/>
        <w:numPr>
          <w:ilvl w:val="0"/>
          <w:numId w:val="1004"/>
        </w:numPr>
      </w:pPr>
      <w:r>
        <w:t xml:space="preserve">Expense ratio and agency profit-sharing commission pressure.</w:t>
      </w:r>
    </w:p>
    <w:bookmarkEnd w:id="12"/>
    <w:bookmarkStart w:id="13" w:name="X70e20760b2ed2f8a31b2fa2708dd6c36f9ad04b"/>
    <w:p>
      <w:pPr>
        <w:pStyle w:val="Heading3"/>
      </w:pPr>
      <w:r>
        <w:t xml:space="preserve">4. Catastrophes will drive the reported number, but not necessarily the thesis</w:t>
      </w:r>
    </w:p>
    <w:p>
      <w:pPr>
        <w:pStyle w:val="FirstParagraph"/>
      </w:pPr>
      <w:r>
        <w:t xml:space="preserve">CINF’s earnings remain highly sensitive to weather losses. In 1Q26, catastrophe losses added</w:t>
      </w:r>
      <w:r>
        <w:t xml:space="preserve"> </w:t>
      </w:r>
      <w:r>
        <w:rPr>
          <w:b/>
          <w:bCs/>
        </w:rPr>
        <w:t xml:space="preserve">11.3 points</w:t>
      </w:r>
      <w:r>
        <w:t xml:space="preserve"> </w:t>
      </w:r>
      <w:r>
        <w:t xml:space="preserve">to the combined ratio, while 2Q25 catastrophe losses added</w:t>
      </w:r>
      <w:r>
        <w:t xml:space="preserve"> </w:t>
      </w:r>
      <w:r>
        <w:rPr>
          <w:b/>
          <w:bCs/>
        </w:rPr>
        <w:t xml:space="preserve">12.4 points</w:t>
      </w:r>
      <w:r>
        <w:t xml:space="preserve">.</w:t>
      </w:r>
    </w:p>
    <w:p>
      <w:pPr>
        <w:pStyle w:val="BodyText"/>
      </w:pPr>
      <w:r>
        <w:t xml:space="preserve">This is important because an investor should avoid reading a high or low reported combined ratio in isolation:</w:t>
      </w:r>
    </w:p>
    <w:p>
      <w:pPr>
        <w:pStyle w:val="Compact"/>
        <w:numPr>
          <w:ilvl w:val="0"/>
          <w:numId w:val="1005"/>
        </w:numPr>
      </w:pPr>
      <w:r>
        <w:rPr>
          <w:b/>
          <w:bCs/>
        </w:rPr>
        <w:t xml:space="preserve">Low catastrophe losses</w:t>
      </w:r>
      <w:r>
        <w:t xml:space="preserve"> </w:t>
      </w:r>
      <w:r>
        <w:t xml:space="preserve">could make the quarter look exceptionally strong even if the underlying loss ratio worsens.</w:t>
      </w:r>
    </w:p>
    <w:p>
      <w:pPr>
        <w:pStyle w:val="Compact"/>
        <w:numPr>
          <w:ilvl w:val="0"/>
          <w:numId w:val="1005"/>
        </w:numPr>
      </w:pPr>
      <w:r>
        <w:rPr>
          <w:b/>
          <w:bCs/>
        </w:rPr>
        <w:t xml:space="preserve">Elevated catastrophe losses</w:t>
      </w:r>
      <w:r>
        <w:t xml:space="preserve"> </w:t>
      </w:r>
      <w:r>
        <w:t xml:space="preserve">could obscure continued improvement in pricing and claims performance.</w:t>
      </w:r>
    </w:p>
    <w:p>
      <w:pPr>
        <w:pStyle w:val="FirstParagraph"/>
      </w:pPr>
      <w:r>
        <w:t xml:space="preserve">The cleanest read-through will be management’s disclosure of the</w:t>
      </w:r>
      <w:r>
        <w:t xml:space="preserve"> </w:t>
      </w:r>
      <w:r>
        <w:rPr>
          <w:b/>
          <w:bCs/>
        </w:rPr>
        <w:t xml:space="preserve">current accident year combined ratio before catastrophes</w:t>
      </w:r>
      <w:r>
        <w:t xml:space="preserve">, along with catastrophe losses as a percentage of earned premium.</w:t>
      </w:r>
    </w:p>
    <w:bookmarkEnd w:id="13"/>
    <w:bookmarkStart w:id="14" w:name="Xd0e9a2440ae8e87fe81c2c5d8116eb96e48f5ed"/>
    <w:p>
      <w:pPr>
        <w:pStyle w:val="Heading3"/>
      </w:pPr>
      <w:r>
        <w:t xml:space="preserve">5. Reserve development: favorable overall, but casualty deserves scrutiny</w:t>
      </w:r>
    </w:p>
    <w:p>
      <w:pPr>
        <w:pStyle w:val="FirstParagraph"/>
      </w:pPr>
      <w:r>
        <w:t xml:space="preserve">CINF reported</w:t>
      </w:r>
      <w:r>
        <w:t xml:space="preserve"> </w:t>
      </w:r>
      <w:r>
        <w:rPr>
          <w:b/>
          <w:bCs/>
        </w:rPr>
        <w:t xml:space="preserve">$81 million of favorable prior-year reserve development</w:t>
      </w:r>
      <w:r>
        <w:t xml:space="preserve"> </w:t>
      </w:r>
      <w:r>
        <w:t xml:space="preserve">in 1Q, benefiting the combined ratio by 3.2 points. That is positive, but the composition matters:</w:t>
      </w:r>
    </w:p>
    <w:p>
      <w:pPr>
        <w:pStyle w:val="Compact"/>
        <w:numPr>
          <w:ilvl w:val="0"/>
          <w:numId w:val="1006"/>
        </w:numPr>
      </w:pPr>
      <w:r>
        <w:t xml:space="preserve">Commercial property and workers’ compensation were the primary sources of favorable development.</w:t>
      </w:r>
    </w:p>
    <w:p>
      <w:pPr>
        <w:pStyle w:val="Compact"/>
        <w:numPr>
          <w:ilvl w:val="0"/>
          <w:numId w:val="1006"/>
        </w:numPr>
      </w:pPr>
      <w:r>
        <w:t xml:space="preserve">Commercial casualty had only modest favorable development.</w:t>
      </w:r>
    </w:p>
    <w:p>
      <w:pPr>
        <w:pStyle w:val="Compact"/>
        <w:numPr>
          <w:ilvl w:val="0"/>
          <w:numId w:val="1006"/>
        </w:numPr>
      </w:pPr>
      <w:r>
        <w:t xml:space="preserve">Commercial auto had</w:t>
      </w:r>
      <w:r>
        <w:t xml:space="preserve"> </w:t>
      </w:r>
      <w:r>
        <w:rPr>
          <w:b/>
          <w:bCs/>
        </w:rPr>
        <w:t xml:space="preserve">$2 million of unfavorable development</w:t>
      </w:r>
      <w:r>
        <w:t xml:space="preserve">.</w:t>
      </w:r>
    </w:p>
    <w:p>
      <w:pPr>
        <w:pStyle w:val="Compact"/>
        <w:numPr>
          <w:ilvl w:val="0"/>
          <w:numId w:val="1006"/>
        </w:numPr>
      </w:pPr>
      <w:r>
        <w:t xml:space="preserve">Personal auto had</w:t>
      </w:r>
      <w:r>
        <w:t xml:space="preserve"> </w:t>
      </w:r>
      <w:r>
        <w:rPr>
          <w:b/>
          <w:bCs/>
        </w:rPr>
        <w:t xml:space="preserve">$10 million of unfavorable development</w:t>
      </w:r>
      <w:r>
        <w:t xml:space="preserve">.</w:t>
      </w:r>
    </w:p>
    <w:p>
      <w:pPr>
        <w:pStyle w:val="FirstParagraph"/>
      </w:pPr>
      <w:r>
        <w:t xml:space="preserve">With commercial casualty representing about one-third of CINF’s gross property-casualty reserves, the market is likely to scrutinize commentary around social inflation, litigation severity, commercial auto, umbrella, and reserve selections. Management has consistently emphasized caution rather than declaring victory over legal-system abuse; that conservatism is appropriate.</w:t>
      </w:r>
    </w:p>
    <w:p>
      <w:pPr>
        <w:pStyle w:val="BodyText"/>
      </w:pPr>
      <w:r>
        <w:t xml:space="preserve">A quarter with stable reserve selections and no meaningful casualty adverse development would be a meaningful positive. Conversely, any broad reserve strengthening would likely outweigh a modest operating EPS beat.</w:t>
      </w:r>
    </w:p>
    <w:bookmarkEnd w:id="14"/>
    <w:bookmarkEnd w:id="15"/>
    <w:bookmarkStart w:id="16" w:name="X0f8ca21c9b12d3be41f4f6f413dcdf8f95ef408"/>
    <w:p>
      <w:pPr>
        <w:pStyle w:val="Heading2"/>
      </w:pPr>
      <w:r>
        <w:t xml:space="preserve">Investment income: durable tailwind, but compare cleanly</w:t>
      </w:r>
    </w:p>
    <w:p>
      <w:pPr>
        <w:pStyle w:val="FirstParagraph"/>
      </w:pPr>
      <w:r>
        <w:t xml:space="preserve">Investment income is a clear earnings tailwind:</w:t>
      </w:r>
    </w:p>
    <w:p>
      <w:pPr>
        <w:pStyle w:val="Compact"/>
        <w:numPr>
          <w:ilvl w:val="0"/>
          <w:numId w:val="1007"/>
        </w:numPr>
      </w:pPr>
      <w:r>
        <w:t xml:space="preserve">1Q26 pretax investment income rose</w:t>
      </w:r>
      <w:r>
        <w:t xml:space="preserve"> </w:t>
      </w:r>
      <w:r>
        <w:rPr>
          <w:b/>
          <w:bCs/>
        </w:rPr>
        <w:t xml:space="preserve">14%</w:t>
      </w:r>
      <w:r>
        <w:t xml:space="preserve"> </w:t>
      </w:r>
      <w:r>
        <w:t xml:space="preserve">to</w:t>
      </w:r>
      <w:r>
        <w:t xml:space="preserve"> </w:t>
      </w:r>
      <w:r>
        <w:rPr>
          <w:b/>
          <w:bCs/>
        </w:rPr>
        <w:t xml:space="preserve">$318 million</w:t>
      </w:r>
      <w:r>
        <w:t xml:space="preserve">.</w:t>
      </w:r>
    </w:p>
    <w:p>
      <w:pPr>
        <w:pStyle w:val="Compact"/>
        <w:numPr>
          <w:ilvl w:val="0"/>
          <w:numId w:val="1007"/>
        </w:numPr>
      </w:pPr>
      <w:r>
        <w:t xml:space="preserve">Bond interest income increased</w:t>
      </w:r>
      <w:r>
        <w:t xml:space="preserve"> </w:t>
      </w:r>
      <w:r>
        <w:rPr>
          <w:b/>
          <w:bCs/>
        </w:rPr>
        <w:t xml:space="preserve">12%</w:t>
      </w:r>
      <w:r>
        <w:t xml:space="preserve">.</w:t>
      </w:r>
    </w:p>
    <w:p>
      <w:pPr>
        <w:pStyle w:val="Compact"/>
        <w:numPr>
          <w:ilvl w:val="0"/>
          <w:numId w:val="1007"/>
        </w:numPr>
      </w:pPr>
      <w:r>
        <w:t xml:space="preserve">The fixed-income portfolio’s average pretax yield was</w:t>
      </w:r>
      <w:r>
        <w:t xml:space="preserve"> </w:t>
      </w:r>
      <w:r>
        <w:rPr>
          <w:b/>
          <w:bCs/>
        </w:rPr>
        <w:t xml:space="preserve">5.02%</w:t>
      </w:r>
      <w:r>
        <w:t xml:space="preserve">.</w:t>
      </w:r>
    </w:p>
    <w:p>
      <w:pPr>
        <w:pStyle w:val="Compact"/>
        <w:numPr>
          <w:ilvl w:val="0"/>
          <w:numId w:val="1007"/>
        </w:numPr>
      </w:pPr>
      <w:r>
        <w:t xml:space="preserve">Newly purchased fixed maturities carried a</w:t>
      </w:r>
      <w:r>
        <w:t xml:space="preserve"> </w:t>
      </w:r>
      <w:r>
        <w:rPr>
          <w:b/>
          <w:bCs/>
        </w:rPr>
        <w:t xml:space="preserve">5.37%</w:t>
      </w:r>
      <w:r>
        <w:t xml:space="preserve"> </w:t>
      </w:r>
      <w:r>
        <w:t xml:space="preserve">average pretax yield.</w:t>
      </w:r>
    </w:p>
    <w:p>
      <w:pPr>
        <w:pStyle w:val="Compact"/>
        <w:numPr>
          <w:ilvl w:val="0"/>
          <w:numId w:val="1007"/>
        </w:numPr>
      </w:pPr>
      <w:r>
        <w:t xml:space="preserve">Operating cash flow was</w:t>
      </w:r>
      <w:r>
        <w:t xml:space="preserve"> </w:t>
      </w:r>
      <w:r>
        <w:rPr>
          <w:b/>
          <w:bCs/>
        </w:rPr>
        <w:t xml:space="preserve">$656 million</w:t>
      </w:r>
      <w:r>
        <w:t xml:space="preserve">, more than double the prior-year quarter.</w:t>
      </w:r>
    </w:p>
    <w:p>
      <w:pPr>
        <w:pStyle w:val="FirstParagraph"/>
      </w:pPr>
      <w:r>
        <w:t xml:space="preserve">The reinvestment profile supports continued growth in net investment income. However, 1Q dividend income included a</w:t>
      </w:r>
      <w:r>
        <w:t xml:space="preserve"> </w:t>
      </w:r>
      <w:r>
        <w:rPr>
          <w:b/>
          <w:bCs/>
        </w:rPr>
        <w:t xml:space="preserve">$6 million special dividend</w:t>
      </w:r>
      <w:r>
        <w:t xml:space="preserve">, so investors should separate recurring yield improvement from nonrecurring contributions.</w:t>
      </w:r>
    </w:p>
    <w:p>
      <w:pPr>
        <w:pStyle w:val="BodyText"/>
      </w:pPr>
      <w:r>
        <w:t xml:space="preserve">CINF also has a large equity portfolio—$12.6 billion at March 31, or 39% of total investments—which can make GAAP net income and book value volatile through unrealized equity marks. For this reason,</w:t>
      </w:r>
      <w:r>
        <w:t xml:space="preserve"> </w:t>
      </w:r>
      <w:r>
        <w:rPr>
          <w:b/>
          <w:bCs/>
        </w:rPr>
        <w:t xml:space="preserve">operating income, investment income, and book-value movement</w:t>
      </w:r>
      <w:r>
        <w:t xml:space="preserve"> </w:t>
      </w:r>
      <w:r>
        <w:t xml:space="preserve">are more informative than headline net income alone.</w:t>
      </w:r>
    </w:p>
    <w:bookmarkEnd w:id="16"/>
    <w:bookmarkStart w:id="17" w:name="X14a120fc42af5e1432a1e37daba7cf891f5db7b"/>
    <w:p>
      <w:pPr>
        <w:pStyle w:val="Heading2"/>
      </w:pPr>
      <w:r>
        <w:t xml:space="preserve">Capital and shareholder return remain differentiators</w:t>
      </w:r>
    </w:p>
    <w:p>
      <w:pPr>
        <w:pStyle w:val="FirstParagraph"/>
      </w:pPr>
      <w:r>
        <w:t xml:space="preserve">CINF’s balance sheet is a core support for the equity story:</w:t>
      </w:r>
    </w:p>
    <w:p>
      <w:pPr>
        <w:pStyle w:val="Compact"/>
        <w:numPr>
          <w:ilvl w:val="0"/>
          <w:numId w:val="1008"/>
        </w:numPr>
      </w:pPr>
      <w:r>
        <w:t xml:space="preserve">Parent-company cash and marketable securities:</w:t>
      </w:r>
      <w:r>
        <w:t xml:space="preserve"> </w:t>
      </w:r>
      <w:r>
        <w:rPr>
          <w:b/>
          <w:bCs/>
        </w:rPr>
        <w:t xml:space="preserve">$5.6 billion</w:t>
      </w:r>
      <w:r>
        <w:t xml:space="preserve"> </w:t>
      </w:r>
      <w:r>
        <w:t xml:space="preserve">at March 31.</w:t>
      </w:r>
    </w:p>
    <w:p>
      <w:pPr>
        <w:pStyle w:val="Compact"/>
        <w:numPr>
          <w:ilvl w:val="0"/>
          <w:numId w:val="1008"/>
        </w:numPr>
      </w:pPr>
      <w:r>
        <w:t xml:space="preserve">Shareholders’ equity:</w:t>
      </w:r>
      <w:r>
        <w:t xml:space="preserve"> </w:t>
      </w:r>
      <w:r>
        <w:rPr>
          <w:b/>
          <w:bCs/>
        </w:rPr>
        <w:t xml:space="preserve">$15.7 billion</w:t>
      </w:r>
      <w:r>
        <w:t xml:space="preserve">.</w:t>
      </w:r>
    </w:p>
    <w:p>
      <w:pPr>
        <w:pStyle w:val="Compact"/>
        <w:numPr>
          <w:ilvl w:val="0"/>
          <w:numId w:val="1008"/>
        </w:numPr>
      </w:pPr>
      <w:r>
        <w:t xml:space="preserve">Debt-to-total-capital ratio:</w:t>
      </w:r>
      <w:r>
        <w:t xml:space="preserve"> </w:t>
      </w:r>
      <w:r>
        <w:rPr>
          <w:b/>
          <w:bCs/>
        </w:rPr>
        <w:t xml:space="preserve">4.9%</w:t>
      </w:r>
      <w:r>
        <w:t xml:space="preserve">.</w:t>
      </w:r>
    </w:p>
    <w:p>
      <w:pPr>
        <w:pStyle w:val="Compact"/>
        <w:numPr>
          <w:ilvl w:val="0"/>
          <w:numId w:val="1008"/>
        </w:numPr>
      </w:pPr>
      <w:r>
        <w:t xml:space="preserve">1Q share repurchases: approximately</w:t>
      </w:r>
      <w:r>
        <w:t xml:space="preserve"> </w:t>
      </w:r>
      <w:r>
        <w:rPr>
          <w:b/>
          <w:bCs/>
        </w:rPr>
        <w:t xml:space="preserve">1.1 million shares</w:t>
      </w:r>
      <w:r>
        <w:t xml:space="preserve"> </w:t>
      </w:r>
      <w:r>
        <w:t xml:space="preserve">at an average price of</w:t>
      </w:r>
      <w:r>
        <w:t xml:space="preserve"> </w:t>
      </w:r>
      <w:r>
        <w:rPr>
          <w:b/>
          <w:bCs/>
        </w:rPr>
        <w:t xml:space="preserve">$164.93</w:t>
      </w:r>
      <w:r>
        <w:t xml:space="preserve">.</w:t>
      </w:r>
    </w:p>
    <w:p>
      <w:pPr>
        <w:pStyle w:val="Compact"/>
        <w:numPr>
          <w:ilvl w:val="0"/>
          <w:numId w:val="1008"/>
        </w:numPr>
      </w:pPr>
      <w:r>
        <w:t xml:space="preserve">Quarterly dividend:</w:t>
      </w:r>
      <w:r>
        <w:t xml:space="preserve"> </w:t>
      </w:r>
      <w:r>
        <w:rPr>
          <w:b/>
          <w:bCs/>
        </w:rPr>
        <w:t xml:space="preserve">$0.94 per share</w:t>
      </w:r>
      <w:r>
        <w:t xml:space="preserve">, following the company’s 66th consecutive annual dividend increase.</w:t>
      </w:r>
    </w:p>
    <w:p>
      <w:pPr>
        <w:pStyle w:val="FirstParagraph"/>
      </w:pPr>
      <w:r>
        <w:t xml:space="preserve">The capital position gives management room to write through cycles, add agencies, fund reinsurance needs, repurchase stock, and preserve the dividend. The question for 2Q is whether buybacks remained elevated after the shares appreciated, and whether management sees its capital deployment priorities shifting toward organic growth.</w:t>
      </w:r>
    </w:p>
    <w:bookmarkEnd w:id="17"/>
    <w:bookmarkStart w:id="21" w:name="bull-base-and-bear-read-throughs"/>
    <w:p>
      <w:pPr>
        <w:pStyle w:val="Heading2"/>
      </w:pPr>
      <w:r>
        <w:t xml:space="preserve">Bull, base, and bear read-throughs</w:t>
      </w:r>
    </w:p>
    <w:bookmarkStart w:id="18" w:name="bull-case"/>
    <w:p>
      <w:pPr>
        <w:pStyle w:val="Heading3"/>
      </w:pPr>
      <w:r>
        <w:t xml:space="preserve">Bull case</w:t>
      </w:r>
    </w:p>
    <w:p>
      <w:pPr>
        <w:pStyle w:val="FirstParagraph"/>
      </w:pPr>
      <w:r>
        <w:t xml:space="preserve">A bullish report would feature:</w:t>
      </w:r>
    </w:p>
    <w:p>
      <w:pPr>
        <w:pStyle w:val="Compact"/>
        <w:numPr>
          <w:ilvl w:val="0"/>
          <w:numId w:val="1009"/>
        </w:numPr>
      </w:pPr>
      <w:r>
        <w:t xml:space="preserve">A consolidated combined ratio in the mid-90s or better despite normal catastrophe activity.</w:t>
      </w:r>
    </w:p>
    <w:p>
      <w:pPr>
        <w:pStyle w:val="Compact"/>
        <w:numPr>
          <w:ilvl w:val="0"/>
          <w:numId w:val="1009"/>
        </w:numPr>
      </w:pPr>
      <w:r>
        <w:t xml:space="preserve">Personal-lines profitability holding below a 100% combined ratio.</w:t>
      </w:r>
    </w:p>
    <w:p>
      <w:pPr>
        <w:pStyle w:val="Compact"/>
        <w:numPr>
          <w:ilvl w:val="0"/>
          <w:numId w:val="1009"/>
        </w:numPr>
      </w:pPr>
      <w:r>
        <w:t xml:space="preserve">Commercial ex-cat loss ratio stabilizing rather than deteriorating.</w:t>
      </w:r>
    </w:p>
    <w:p>
      <w:pPr>
        <w:pStyle w:val="Compact"/>
        <w:numPr>
          <w:ilvl w:val="0"/>
          <w:numId w:val="1009"/>
        </w:numPr>
      </w:pPr>
      <w:r>
        <w:t xml:space="preserve">Net written premium growth remaining healthy despite lower price increases.</w:t>
      </w:r>
    </w:p>
    <w:p>
      <w:pPr>
        <w:pStyle w:val="Compact"/>
        <w:numPr>
          <w:ilvl w:val="0"/>
          <w:numId w:val="1009"/>
        </w:numPr>
      </w:pPr>
      <w:r>
        <w:t xml:space="preserve">Continued double-digit growth in investment income.</w:t>
      </w:r>
    </w:p>
    <w:p>
      <w:pPr>
        <w:pStyle w:val="Compact"/>
        <w:numPr>
          <w:ilvl w:val="0"/>
          <w:numId w:val="1009"/>
        </w:numPr>
      </w:pPr>
      <w:r>
        <w:t xml:space="preserve">Stable reserves and continued favorable development.</w:t>
      </w:r>
    </w:p>
    <w:p>
      <w:pPr>
        <w:pStyle w:val="Compact"/>
        <w:numPr>
          <w:ilvl w:val="0"/>
          <w:numId w:val="1009"/>
        </w:numPr>
      </w:pPr>
      <w:r>
        <w:t xml:space="preserve">Book-value growth supported by investments and operating earnings.</w:t>
      </w:r>
    </w:p>
    <w:bookmarkEnd w:id="18"/>
    <w:bookmarkStart w:id="19" w:name="base-case"/>
    <w:p>
      <w:pPr>
        <w:pStyle w:val="Heading3"/>
      </w:pPr>
      <w:r>
        <w:t xml:space="preserve">Base case</w:t>
      </w:r>
    </w:p>
    <w:p>
      <w:pPr>
        <w:pStyle w:val="FirstParagraph"/>
      </w:pPr>
      <w:r>
        <w:t xml:space="preserve">A reasonable base outcome would be:</w:t>
      </w:r>
    </w:p>
    <w:p>
      <w:pPr>
        <w:pStyle w:val="Compact"/>
        <w:numPr>
          <w:ilvl w:val="0"/>
          <w:numId w:val="1010"/>
        </w:numPr>
      </w:pPr>
      <w:r>
        <w:t xml:space="preserve">Solid operating income, with the reported combined ratio determined largely by weather.</w:t>
      </w:r>
    </w:p>
    <w:p>
      <w:pPr>
        <w:pStyle w:val="Compact"/>
        <w:numPr>
          <w:ilvl w:val="0"/>
          <w:numId w:val="1010"/>
        </w:numPr>
      </w:pPr>
      <w:r>
        <w:t xml:space="preserve">Moderating premium growth, particularly in commercial lines and personal-lines new business.</w:t>
      </w:r>
    </w:p>
    <w:p>
      <w:pPr>
        <w:pStyle w:val="Compact"/>
        <w:numPr>
          <w:ilvl w:val="0"/>
          <w:numId w:val="1010"/>
        </w:numPr>
      </w:pPr>
      <w:r>
        <w:t xml:space="preserve">Ongoing personal-lines improvement, partly offset by commercial-margin pressure.</w:t>
      </w:r>
    </w:p>
    <w:p>
      <w:pPr>
        <w:pStyle w:val="Compact"/>
        <w:numPr>
          <w:ilvl w:val="0"/>
          <w:numId w:val="1010"/>
        </w:numPr>
      </w:pPr>
      <w:r>
        <w:t xml:space="preserve">Investment income continuing to rise sequentially and year over year.</w:t>
      </w:r>
    </w:p>
    <w:p>
      <w:pPr>
        <w:pStyle w:val="Compact"/>
        <w:numPr>
          <w:ilvl w:val="0"/>
          <w:numId w:val="1010"/>
        </w:numPr>
      </w:pPr>
      <w:r>
        <w:t xml:space="preserve">Favorable reserve development, but at a more modest contribution than prior periods.</w:t>
      </w:r>
    </w:p>
    <w:bookmarkEnd w:id="19"/>
    <w:bookmarkStart w:id="20" w:name="bear-case"/>
    <w:p>
      <w:pPr>
        <w:pStyle w:val="Heading3"/>
      </w:pPr>
      <w:r>
        <w:t xml:space="preserve">Bear case</w:t>
      </w:r>
    </w:p>
    <w:p>
      <w:pPr>
        <w:pStyle w:val="FirstParagraph"/>
      </w:pPr>
      <w:r>
        <w:t xml:space="preserve">The downside setup would be:</w:t>
      </w:r>
    </w:p>
    <w:p>
      <w:pPr>
        <w:pStyle w:val="Compact"/>
        <w:numPr>
          <w:ilvl w:val="0"/>
          <w:numId w:val="1011"/>
        </w:numPr>
      </w:pPr>
      <w:r>
        <w:t xml:space="preserve">Meaningful 2Q catastrophe losses combined with commercial or auto reserve deterioration.</w:t>
      </w:r>
    </w:p>
    <w:p>
      <w:pPr>
        <w:pStyle w:val="Compact"/>
        <w:numPr>
          <w:ilvl w:val="0"/>
          <w:numId w:val="1011"/>
        </w:numPr>
      </w:pPr>
      <w:r>
        <w:t xml:space="preserve">Personal-lines profitability slipping as competition rises or loss costs reaccelerate.</w:t>
      </w:r>
    </w:p>
    <w:p>
      <w:pPr>
        <w:pStyle w:val="Compact"/>
        <w:numPr>
          <w:ilvl w:val="0"/>
          <w:numId w:val="1011"/>
        </w:numPr>
      </w:pPr>
      <w:r>
        <w:t xml:space="preserve">Premium growth slowing sharply because pricing fades and retention/new business weaken.</w:t>
      </w:r>
    </w:p>
    <w:p>
      <w:pPr>
        <w:pStyle w:val="Compact"/>
        <w:numPr>
          <w:ilvl w:val="0"/>
          <w:numId w:val="1011"/>
        </w:numPr>
      </w:pPr>
      <w:r>
        <w:t xml:space="preserve">Management signaling less confidence in achieving the long-term combined-ratio target.</w:t>
      </w:r>
    </w:p>
    <w:p>
      <w:pPr>
        <w:pStyle w:val="Compact"/>
        <w:numPr>
          <w:ilvl w:val="0"/>
          <w:numId w:val="1011"/>
        </w:numPr>
      </w:pPr>
      <w:r>
        <w:t xml:space="preserve">Book value pressured by fixed-income or equity-market marks.</w:t>
      </w:r>
    </w:p>
    <w:bookmarkEnd w:id="20"/>
    <w:bookmarkEnd w:id="21"/>
    <w:bookmarkStart w:id="22" w:name="X9116bec721e8ecc27edd7ff5882de2109353ab2"/>
    <w:p>
      <w:pPr>
        <w:pStyle w:val="Heading2"/>
      </w:pPr>
      <w:r>
        <w:t xml:space="preserve">Questions investors should ask on the call</w:t>
      </w:r>
    </w:p>
    <w:p>
      <w:pPr>
        <w:pStyle w:val="Compact"/>
        <w:numPr>
          <w:ilvl w:val="0"/>
          <w:numId w:val="1012"/>
        </w:numPr>
      </w:pPr>
      <w:r>
        <w:rPr>
          <w:b/>
          <w:bCs/>
        </w:rPr>
        <w:t xml:space="preserve">How did 2Q renewal price changes compare with 1Q by commercial casualty, commercial property, commercial auto, workers’ compensation, homeowners, and personal auto?</w:t>
      </w:r>
    </w:p>
    <w:p>
      <w:pPr>
        <w:pStyle w:val="Compact"/>
        <w:numPr>
          <w:ilvl w:val="0"/>
          <w:numId w:val="1012"/>
        </w:numPr>
      </w:pPr>
      <w:r>
        <w:rPr>
          <w:b/>
          <w:bCs/>
        </w:rPr>
        <w:t xml:space="preserve">Did personal-lines exposure counts continue to decline, and is CINF comfortable trading unit growth for rate and underwriting margin?</w:t>
      </w:r>
    </w:p>
    <w:p>
      <w:pPr>
        <w:pStyle w:val="Compact"/>
        <w:numPr>
          <w:ilvl w:val="0"/>
          <w:numId w:val="1012"/>
        </w:numPr>
      </w:pPr>
      <w:r>
        <w:rPr>
          <w:b/>
          <w:bCs/>
        </w:rPr>
        <w:t xml:space="preserve">What is the current trend in commercial casualty and auto claim severity, litigation costs, and reserve selections?</w:t>
      </w:r>
    </w:p>
    <w:p>
      <w:pPr>
        <w:pStyle w:val="Compact"/>
        <w:numPr>
          <w:ilvl w:val="0"/>
          <w:numId w:val="1012"/>
        </w:numPr>
      </w:pPr>
      <w:r>
        <w:rPr>
          <w:b/>
          <w:bCs/>
        </w:rPr>
        <w:t xml:space="preserve">How much of 2Q underwriting profitability reflects favorable prior-year development versus current-year margin?</w:t>
      </w:r>
    </w:p>
    <w:p>
      <w:pPr>
        <w:pStyle w:val="Compact"/>
        <w:numPr>
          <w:ilvl w:val="0"/>
          <w:numId w:val="1012"/>
        </w:numPr>
      </w:pPr>
      <w:r>
        <w:rPr>
          <w:b/>
          <w:bCs/>
        </w:rPr>
        <w:t xml:space="preserve">What was the catastrophe-loss ratio, and how did it compare with CINF’s expected loss load?</w:t>
      </w:r>
    </w:p>
    <w:p>
      <w:pPr>
        <w:pStyle w:val="Compact"/>
        <w:numPr>
          <w:ilvl w:val="0"/>
          <w:numId w:val="1012"/>
        </w:numPr>
      </w:pPr>
      <w:r>
        <w:rPr>
          <w:b/>
          <w:bCs/>
        </w:rPr>
        <w:t xml:space="preserve">Are pricing pressures on larger commercial accounts worsening, stabilizing, or easing?</w:t>
      </w:r>
    </w:p>
    <w:p>
      <w:pPr>
        <w:pStyle w:val="Compact"/>
        <w:numPr>
          <w:ilvl w:val="0"/>
          <w:numId w:val="1012"/>
        </w:numPr>
      </w:pPr>
      <w:r>
        <w:rPr>
          <w:b/>
          <w:bCs/>
        </w:rPr>
        <w:t xml:space="preserve">Has the pace of agency appointments and maturation of newer agencies continued to support premium growth?</w:t>
      </w:r>
    </w:p>
    <w:p>
      <w:pPr>
        <w:pStyle w:val="Compact"/>
        <w:numPr>
          <w:ilvl w:val="0"/>
          <w:numId w:val="1012"/>
        </w:numPr>
      </w:pPr>
      <w:r>
        <w:rPr>
          <w:b/>
          <w:bCs/>
        </w:rPr>
        <w:t xml:space="preserve">What is the expected run rate for investment income after excluding 1Q’s special dividend?</w:t>
      </w:r>
    </w:p>
    <w:p>
      <w:pPr>
        <w:pStyle w:val="Compact"/>
        <w:numPr>
          <w:ilvl w:val="0"/>
          <w:numId w:val="1012"/>
        </w:numPr>
      </w:pPr>
      <w:r>
        <w:rPr>
          <w:b/>
          <w:bCs/>
        </w:rPr>
        <w:t xml:space="preserve">Did CINF continue “maintenance-plus” buybacks, and how does management view repurchases at the current share price?</w:t>
      </w:r>
    </w:p>
    <w:bookmarkEnd w:id="22"/>
    <w:bookmarkStart w:id="23" w:name="takeaway"/>
    <w:p>
      <w:pPr>
        <w:pStyle w:val="Heading2"/>
      </w:pPr>
      <w:r>
        <w:t xml:space="preserve">Takeaway</w:t>
      </w:r>
    </w:p>
    <w:p>
      <w:pPr>
        <w:pStyle w:val="FirstParagraph"/>
      </w:pPr>
      <w:r>
        <w:t xml:space="preserve">CINF’s 2Q26 report is primarily a</w:t>
      </w:r>
      <w:r>
        <w:t xml:space="preserve"> </w:t>
      </w:r>
      <w:r>
        <w:rPr>
          <w:b/>
          <w:bCs/>
        </w:rPr>
        <w:t xml:space="preserve">quality-of-earnings test</w:t>
      </w:r>
      <w:r>
        <w:t xml:space="preserve">. The company has already shown that personal-lines rate actions and underwriting discipline can restore profitability, while higher portfolio yields are providing a durable investment-income tailwind. For the stock to continue working after its strong year-to-date move, investors will want confirmation that:</w:t>
      </w:r>
    </w:p>
    <w:p>
      <w:pPr>
        <w:pStyle w:val="Compact"/>
        <w:numPr>
          <w:ilvl w:val="0"/>
          <w:numId w:val="1013"/>
        </w:numPr>
      </w:pPr>
      <w:r>
        <w:t xml:space="preserve">personal-lines margins are sustainable,</w:t>
      </w:r>
    </w:p>
    <w:p>
      <w:pPr>
        <w:pStyle w:val="Compact"/>
        <w:numPr>
          <w:ilvl w:val="0"/>
          <w:numId w:val="1013"/>
        </w:numPr>
      </w:pPr>
      <w:r>
        <w:t xml:space="preserve">commercial competition is not forcing an unfavorable trade-off between growth and profitability,</w:t>
      </w:r>
    </w:p>
    <w:p>
      <w:pPr>
        <w:pStyle w:val="Compact"/>
        <w:numPr>
          <w:ilvl w:val="0"/>
          <w:numId w:val="1013"/>
        </w:numPr>
      </w:pPr>
      <w:r>
        <w:t xml:space="preserve">casualty reserves remain sound, and</w:t>
      </w:r>
    </w:p>
    <w:p>
      <w:pPr>
        <w:pStyle w:val="Compact"/>
        <w:numPr>
          <w:ilvl w:val="0"/>
          <w:numId w:val="1013"/>
        </w:numPr>
      </w:pPr>
      <w:r>
        <w:t xml:space="preserve">catastrophe losses have not masked deterioration in the underlying book.</w:t>
      </w:r>
    </w:p>
    <w:p>
      <w:pPr>
        <w:pStyle w:val="FirstParagraph"/>
      </w:pPr>
      <w:r>
        <w:t xml:space="preserve">The most decision-useful figures will be the</w:t>
      </w:r>
      <w:r>
        <w:t xml:space="preserve"> </w:t>
      </w:r>
      <w:r>
        <w:rPr>
          <w:b/>
          <w:bCs/>
        </w:rPr>
        <w:t xml:space="preserve">ex-cat current accident year combined ratio, reserve development, premium-growth/price trends, investment income, and book-value change</w:t>
      </w:r>
      <w:r>
        <w:t xml:space="preserve">—not headline GAAP EPS alone.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2026-07-27T00:13:17Z</dcterms:created>
  <dcterms:modified xsi:type="dcterms:W3CDTF">2026-07-27T00:13:17Z</dcterms:modified>
</cp:coreProperties>
</file>

<file path=docProps/custom.xml><?xml version="1.0" encoding="utf-8"?>
<Properties xmlns="http://schemas.openxmlformats.org/officeDocument/2006/custom-properties" xmlns:vt="http://schemas.openxmlformats.org/officeDocument/2006/docPropsVTypes"/>
</file>