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Cincinnati Financial Corporation (CINF)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Cincinnati Financial Corporation</w:t>
            </w:r>
          </w:p>
        </w:tc>
      </w:tr>
      <w:tr>
        <w:tc>
          <w:tcPr>
            <w:tcW w:type="dxa" w:w="4320"/>
          </w:tcPr>
          <w:p>
            <w:r>
              <w:rPr>
                <w:rFonts w:ascii="Calibri" w:hAnsi="Calibri"/>
                <w:b/>
                <w:sz w:val="22"/>
              </w:rPr>
              <w:t>Ticker</w:t>
            </w:r>
          </w:p>
        </w:tc>
        <w:tc>
          <w:tcPr>
            <w:tcW w:type="dxa" w:w="4320"/>
          </w:tcPr>
          <w:p>
            <w:r>
              <w:rPr>
                <w:rFonts w:ascii="Calibri" w:hAnsi="Calibri"/>
                <w:sz w:val="22"/>
              </w:rPr>
              <w:t>CINF</w:t>
            </w:r>
          </w:p>
        </w:tc>
      </w:tr>
      <w:tr>
        <w:tc>
          <w:tcPr>
            <w:tcW w:type="dxa" w:w="4320"/>
          </w:tcPr>
          <w:p>
            <w:r>
              <w:rPr>
                <w:rFonts w:ascii="Calibri" w:hAnsi="Calibri"/>
                <w:b/>
                <w:sz w:val="22"/>
              </w:rPr>
              <w:t>Upcoming Earnings Date</w:t>
            </w:r>
          </w:p>
        </w:tc>
        <w:tc>
          <w:tcPr>
            <w:tcW w:type="dxa" w:w="4320"/>
          </w:tcPr>
          <w:p>
            <w:r>
              <w:rPr>
                <w:rFonts w:ascii="Calibri" w:hAnsi="Calibri"/>
                <w:sz w:val="22"/>
              </w:rPr>
              <w:t>July 28, 2026 (Q2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July 26, 2026</w:t>
            </w:r>
          </w:p>
        </w:tc>
      </w:tr>
      <w:tr>
        <w:tc>
          <w:tcPr>
            <w:tcW w:type="dxa" w:w="4320"/>
          </w:tcPr>
          <w:p>
            <w:r>
              <w:rPr>
                <w:rFonts w:ascii="Calibri" w:hAnsi="Calibri"/>
                <w:b/>
                <w:sz w:val="22"/>
              </w:rPr>
              <w:t>Sector ETF Benchmark</w:t>
            </w:r>
          </w:p>
        </w:tc>
        <w:tc>
          <w:tcPr>
            <w:tcW w:type="dxa" w:w="4320"/>
          </w:tcPr>
          <w:p>
            <w:r>
              <w:rPr>
                <w:rFonts w:ascii="Calibri" w:hAnsi="Calibri"/>
                <w:sz w:val="22"/>
              </w:rPr>
              <w:t>KIE (SPDR S&amp;P Insurance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sits at a beatable bar on the combined ratio, but the wildcard is catastrophe loss severity in a quarter that peers described as "relatively benign" yet still elevated, and any reserve charge in casualty lines (as seen at HIG) could overshadow an otherwise clean print.</w:t>
      </w:r>
    </w:p>
    <w:p>
      <w:r>
        <w:rPr>
          <w:rFonts w:ascii="Calibri" w:hAnsi="Calibri"/>
          <w:color w:val="525866"/>
          <w:sz w:val="22"/>
        </w:rPr>
        <w:t xml:space="preserve">Heading into Q2 2026, the bar for CINF looks achievable: consensus expects a </w:t>
      </w:r>
      <w:r>
        <w:rPr>
          <w:rFonts w:ascii="Calibri" w:hAnsi="Calibri"/>
          <w:b/>
          <w:color w:val="525866"/>
          <w:sz w:val="22"/>
        </w:rPr>
        <w:t>combined ratio of 97.3%</w:t>
      </w:r>
      <w:r>
        <w:rPr>
          <w:rFonts w:ascii="Calibri" w:hAnsi="Calibri"/>
          <w:color w:val="525866"/>
          <w:sz w:val="22"/>
        </w:rPr>
        <w:t xml:space="preserve"> — meaningfully above the 94.9% CINF delivered in Q2 2025 and well above the 88.2% in Q3 2025, implying the Street is pricing in a normal seasonal cat load rather than a repeat of the benign Q2 2025 environment. Management's tone on the Q1 2026 call was measured-to-confident — CEO Stephen Spray acknowledged "more downward pressure on rate" in commercial lines but reaffirmed the 92%–98% long-term combined ratio target and characterized the quarter's results as demonstrating the company has "the people and plans in place to keep building on success regardless of market cycles." Estimate revisions since the April 27 print have been modestly positive: operating EPS consensus for Q2 2026 moved from $1.74 to $1.82, and the FY 2026 estimate edged up from $8.79 to $8.86, suggesting the Street is incrementally more constructive but not aggressively raising the bar. The stock has rallied approximately </w:t>
      </w:r>
      <w:r>
        <w:rPr>
          <w:rFonts w:ascii="Calibri" w:hAnsi="Calibri"/>
          <w:b/>
          <w:color w:val="525866"/>
          <w:sz w:val="22"/>
        </w:rPr>
        <w:t>+10.4%</w:t>
      </w:r>
      <w:r>
        <w:rPr>
          <w:rFonts w:ascii="Calibri" w:hAnsi="Calibri"/>
          <w:color w:val="525866"/>
          <w:sz w:val="22"/>
        </w:rPr>
        <w:t xml:space="preserve"> since last earnings (vs. KIE +11.0%, SPY +3.3%), meaning CINF has largely kept pace with the sector and is not pricing in a dramatic beat — the multiple is neither stretched nor deeply discounted at ~1.6x tangible book. The single biggest wildcard is </w:t>
      </w:r>
      <w:r>
        <w:rPr>
          <w:rFonts w:ascii="Calibri" w:hAnsi="Calibri"/>
          <w:b/>
          <w:color w:val="525866"/>
          <w:sz w:val="22"/>
        </w:rPr>
        <w:t>catastrophe losses</w:t>
      </w:r>
      <w:r>
        <w:rPr>
          <w:rFonts w:ascii="Calibri" w:hAnsi="Calibri"/>
          <w:color w:val="525866"/>
          <w:sz w:val="22"/>
        </w:rPr>
        <w:t>: peers reporting Q2 2026 results described a "relatively benign" cat quarter (WRB: $62M, 2 pts; TRV: ~$400M after-tax; CB: $475M pre-tax), but ALL reported $1.72B in Q2 cat losses — a wide dispersion that makes CINF's cat load (retained up to $200M per event, max $523M for a $2B event) the key swing factor for whether the combined ratio comes in at or below the 97.3% consensus.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moderate bar — the combined ratio estimate of 97.3% is well above recent actuals, leaving room to beat on underwriting; the bigger swing factor is whether cat losses track the benign-to-moderate range peers reported or surprise to the upside. Investment income is a reliable grower and unlikely to disappoint.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Guidance / Long-Term Target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Operating EPS ($)</w:t>
            </w:r>
          </w:p>
        </w:tc>
        <w:tc>
          <w:tcPr>
            <w:tcW w:type="dxa" w:w="1234"/>
          </w:tcPr>
          <w:p>
            <w:r>
              <w:rPr>
                <w:rFonts w:ascii="Calibri" w:hAnsi="Calibri"/>
                <w:sz w:val="22"/>
              </w:rPr>
              <w:t>$2.10</w:t>
            </w:r>
          </w:p>
        </w:tc>
        <w:tc>
          <w:tcPr>
            <w:tcW w:type="dxa" w:w="1234"/>
          </w:tcPr>
          <w:p>
            <w:r>
              <w:rPr>
                <w:rFonts w:ascii="Calibri" w:hAnsi="Calibri"/>
                <w:sz w:val="22"/>
              </w:rPr>
              <w:t>$1.97</w:t>
            </w:r>
          </w:p>
        </w:tc>
        <w:tc>
          <w:tcPr>
            <w:tcW w:type="dxa" w:w="1234"/>
          </w:tcPr>
          <w:p>
            <w:r>
              <w:rPr>
                <w:rFonts w:ascii="Calibri" w:hAnsi="Calibri"/>
                <w:sz w:val="22"/>
              </w:rPr>
              <w:t>$1.82</w:t>
            </w:r>
          </w:p>
        </w:tc>
        <w:tc>
          <w:tcPr>
            <w:tcW w:type="dxa" w:w="1234"/>
          </w:tcPr>
          <w:p>
            <w:r>
              <w:rPr>
                <w:rFonts w:ascii="Calibri" w:hAnsi="Calibri"/>
                <w:sz w:val="22"/>
              </w:rPr>
              <w:t>-7.6%</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r>
        <w:tc>
          <w:tcPr>
            <w:tcW w:type="dxa" w:w="1234"/>
          </w:tcPr>
          <w:p>
            <w:r>
              <w:rPr>
                <w:rFonts w:ascii="Calibri" w:hAnsi="Calibri"/>
                <w:sz w:val="22"/>
              </w:rPr>
              <w:t>Combined Ratio — P&amp;C (%)</w:t>
            </w:r>
          </w:p>
        </w:tc>
        <w:tc>
          <w:tcPr>
            <w:tcW w:type="dxa" w:w="1234"/>
          </w:tcPr>
          <w:p>
            <w:r>
              <w:rPr>
                <w:rFonts w:ascii="Calibri" w:hAnsi="Calibri"/>
                <w:sz w:val="22"/>
              </w:rPr>
              <w:t>95.6%</w:t>
            </w:r>
          </w:p>
        </w:tc>
        <w:tc>
          <w:tcPr>
            <w:tcW w:type="dxa" w:w="1234"/>
          </w:tcPr>
          <w:p>
            <w:r>
              <w:rPr>
                <w:rFonts w:ascii="Calibri" w:hAnsi="Calibri"/>
                <w:sz w:val="22"/>
              </w:rPr>
              <w:t>94.9%</w:t>
            </w:r>
          </w:p>
        </w:tc>
        <w:tc>
          <w:tcPr>
            <w:tcW w:type="dxa" w:w="1234"/>
          </w:tcPr>
          <w:p>
            <w:r>
              <w:rPr>
                <w:rFonts w:ascii="Calibri" w:hAnsi="Calibri"/>
                <w:sz w:val="22"/>
              </w:rPr>
              <w:t>97.3%</w:t>
            </w:r>
          </w:p>
        </w:tc>
        <w:tc>
          <w:tcPr>
            <w:tcW w:type="dxa" w:w="1234"/>
          </w:tcPr>
          <w:p>
            <w:r>
              <w:rPr>
                <w:rFonts w:ascii="Calibri" w:hAnsi="Calibri"/>
                <w:sz w:val="22"/>
              </w:rPr>
              <w:t>+2.4 pts</w:t>
            </w:r>
          </w:p>
        </w:tc>
        <w:tc>
          <w:tcPr>
            <w:tcW w:type="dxa" w:w="1234"/>
          </w:tcPr>
          <w:p>
            <w:r>
              <w:rPr>
                <w:rFonts w:ascii="Calibri" w:hAnsi="Calibri"/>
                <w:sz w:val="22"/>
              </w:rPr>
              <w:t>92%–98% long-term target</w:t>
            </w:r>
          </w:p>
        </w:tc>
        <w:tc>
          <w:tcPr>
            <w:tcW w:type="dxa" w:w="1234"/>
          </w:tcPr>
          <w:p>
            <w:r>
              <w:rPr>
                <w:rFonts w:ascii="Calibri" w:hAnsi="Calibri"/>
                <w:sz w:val="22"/>
              </w:rPr>
              <w:t>Within target range</w:t>
            </w:r>
          </w:p>
        </w:tc>
      </w:tr>
      <w:tr>
        <w:tc>
          <w:tcPr>
            <w:tcW w:type="dxa" w:w="1234"/>
          </w:tcPr>
          <w:p>
            <w:r>
              <w:rPr>
                <w:rFonts w:ascii="Calibri" w:hAnsi="Calibri"/>
                <w:sz w:val="22"/>
              </w:rPr>
              <w:t>Net Written Premium — P&amp;C ($B)</w:t>
            </w:r>
          </w:p>
        </w:tc>
        <w:tc>
          <w:tcPr>
            <w:tcW w:type="dxa" w:w="1234"/>
          </w:tcPr>
          <w:p>
            <w:r>
              <w:rPr>
                <w:rFonts w:ascii="Calibri" w:hAnsi="Calibri"/>
                <w:sz w:val="22"/>
              </w:rPr>
              <w:t>$2.668B</w:t>
            </w:r>
          </w:p>
        </w:tc>
        <w:tc>
          <w:tcPr>
            <w:tcW w:type="dxa" w:w="1234"/>
          </w:tcPr>
          <w:p>
            <w:r>
              <w:rPr>
                <w:rFonts w:ascii="Calibri" w:hAnsi="Calibri"/>
                <w:sz w:val="22"/>
              </w:rPr>
              <w:t>$2.733B</w:t>
            </w:r>
          </w:p>
        </w:tc>
        <w:tc>
          <w:tcPr>
            <w:tcW w:type="dxa" w:w="1234"/>
          </w:tcPr>
          <w:p>
            <w:r>
              <w:rPr>
                <w:rFonts w:ascii="Calibri" w:hAnsi="Calibri"/>
                <w:sz w:val="22"/>
              </w:rPr>
              <w:t>$2.895B</w:t>
            </w:r>
          </w:p>
        </w:tc>
        <w:tc>
          <w:tcPr>
            <w:tcW w:type="dxa" w:w="1234"/>
          </w:tcPr>
          <w:p>
            <w:r>
              <w:rPr>
                <w:rFonts w:ascii="Calibri" w:hAnsi="Calibri"/>
                <w:sz w:val="22"/>
              </w:rPr>
              <w:t>+5.9%</w:t>
            </w:r>
          </w:p>
        </w:tc>
        <w:tc>
          <w:tcPr>
            <w:tcW w:type="dxa" w:w="1234"/>
          </w:tcPr>
          <w:p>
            <w:r>
              <w:rPr>
                <w:rFonts w:ascii="Calibri" w:hAnsi="Calibri"/>
                <w:sz w:val="22"/>
              </w:rPr>
              <w:t>Above industry avg. growth (~4% industry est.)</w:t>
            </w:r>
          </w:p>
        </w:tc>
        <w:tc>
          <w:tcPr>
            <w:tcW w:type="dxa" w:w="1234"/>
          </w:tcPr>
          <w:p>
            <w:r>
              <w:rPr>
                <w:rFonts w:ascii="Calibri" w:hAnsi="Calibri"/>
                <w:sz w:val="22"/>
              </w:rPr>
              <w:t>~+47% above industry avg.</w:t>
            </w:r>
          </w:p>
        </w:tc>
      </w:tr>
      <w:tr>
        <w:tc>
          <w:tcPr>
            <w:tcW w:type="dxa" w:w="1234"/>
          </w:tcPr>
          <w:p>
            <w:r>
              <w:rPr>
                <w:rFonts w:ascii="Calibri" w:hAnsi="Calibri"/>
                <w:sz w:val="22"/>
              </w:rPr>
              <w:t>Net Investment Income ($M)</w:t>
            </w:r>
          </w:p>
        </w:tc>
        <w:tc>
          <w:tcPr>
            <w:tcW w:type="dxa" w:w="1234"/>
          </w:tcPr>
          <w:p>
            <w:r>
              <w:rPr>
                <w:rFonts w:ascii="Calibri" w:hAnsi="Calibri"/>
                <w:sz w:val="22"/>
              </w:rPr>
              <w:t>$318M</w:t>
            </w:r>
          </w:p>
        </w:tc>
        <w:tc>
          <w:tcPr>
            <w:tcW w:type="dxa" w:w="1234"/>
          </w:tcPr>
          <w:p>
            <w:r>
              <w:rPr>
                <w:rFonts w:ascii="Calibri" w:hAnsi="Calibri"/>
                <w:sz w:val="22"/>
              </w:rPr>
              <w:t>$285M</w:t>
            </w:r>
          </w:p>
        </w:tc>
        <w:tc>
          <w:tcPr>
            <w:tcW w:type="dxa" w:w="1234"/>
          </w:tcPr>
          <w:p>
            <w:r>
              <w:rPr>
                <w:rFonts w:ascii="Calibri" w:hAnsi="Calibri"/>
                <w:sz w:val="22"/>
              </w:rPr>
              <w:t>$315M</w:t>
            </w:r>
          </w:p>
        </w:tc>
        <w:tc>
          <w:tcPr>
            <w:tcW w:type="dxa" w:w="1234"/>
          </w:tcPr>
          <w:p>
            <w:r>
              <w:rPr>
                <w:rFonts w:ascii="Calibri" w:hAnsi="Calibri"/>
                <w:sz w:val="22"/>
              </w:rPr>
              <w:t>+10.5%</w:t>
            </w:r>
          </w:p>
        </w:tc>
        <w:tc>
          <w:tcPr>
            <w:tcW w:type="dxa" w:w="1234"/>
          </w:tcPr>
          <w:p>
            <w:r>
              <w:rPr>
                <w:rFonts w:ascii="Calibri" w:hAnsi="Calibri"/>
                <w:sz w:val="22"/>
              </w:rPr>
              <w:t>Continued growth; 14% YoY in Q1 2026</w:t>
            </w:r>
          </w:p>
        </w:tc>
        <w:tc>
          <w:tcPr>
            <w:tcW w:type="dxa" w:w="1234"/>
          </w:tcPr>
          <w:p>
            <w:r>
              <w:rPr>
                <w:rFonts w:ascii="Calibri" w:hAnsi="Calibri"/>
                <w:sz w:val="22"/>
              </w:rPr>
              <w:t>Slightly below Q1 2026 run-rate</w:t>
            </w:r>
          </w:p>
        </w:tc>
      </w:tr>
    </w:tbl>
    <w:p>
      <w:r>
        <w:rPr>
          <w:rFonts w:ascii="Calibri" w:hAnsi="Calibri"/>
          <w:i/>
          <w:color w:val="525866"/>
          <w:sz w:val="22"/>
        </w:rPr>
        <w:t>Source: Visible Alpha Consensus and Actuals Data. All consensus figures as of July 26, 2026. Operating EPS prioritized over reported EPS. Combined ratio and NWP consensus from Visible Alpha. Prior year actuals from Visible Alpha reported figures.</w:t>
      </w:r>
    </w:p>
    <w:p>
      <w:pPr>
        <w:pStyle w:val="Heading3"/>
      </w:pPr>
      <w:r>
        <w:rPr>
          <w:rFonts w:ascii="Calibri" w:hAnsi="Calibri"/>
          <w:b/>
          <w:color w:val="3B4259"/>
          <w:sz w:val="24"/>
        </w:rPr>
        <w:t>Table 2 — Beat/Miss History (Last 8 Quarters)</w:t>
      </w:r>
    </w:p>
    <w:p>
      <w:r>
        <w:rPr>
          <w:rFonts w:ascii="Calibri" w:hAnsi="Calibri"/>
          <w:b/>
          <w:color w:val="525866"/>
          <w:sz w:val="22"/>
        </w:rPr>
        <w:t>Top KPI #1: Combined Ratio — P&amp;C Insurance (%)</w:t>
      </w:r>
      <w:r>
        <w:rPr>
          <w:rFonts w:ascii="Calibri" w:hAnsi="Calibri"/>
          <w:color w:val="525866"/>
          <w:sz w:val="22"/>
        </w:rPr>
        <w:t xml:space="preserve"> (lower = better; a beat = reported below consensus)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(pts)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98.5%</w:t>
            </w:r>
          </w:p>
        </w:tc>
        <w:tc>
          <w:tcPr>
            <w:tcW w:type="dxa" w:w="1728"/>
          </w:tcPr>
          <w:p>
            <w:r>
              <w:rPr>
                <w:rFonts w:ascii="Calibri" w:hAnsi="Calibri"/>
                <w:sz w:val="22"/>
              </w:rPr>
              <w:t>101.4%</w:t>
            </w:r>
          </w:p>
        </w:tc>
        <w:tc>
          <w:tcPr>
            <w:tcW w:type="dxa" w:w="1728"/>
          </w:tcPr>
          <w:p>
            <w:r>
              <w:rPr>
                <w:rFonts w:ascii="Calibri" w:hAnsi="Calibri"/>
                <w:sz w:val="22"/>
              </w:rPr>
              <w:t>-2.9 pts</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97.4%</w:t>
            </w:r>
          </w:p>
        </w:tc>
        <w:tc>
          <w:tcPr>
            <w:tcW w:type="dxa" w:w="1728"/>
          </w:tcPr>
          <w:p>
            <w:r>
              <w:rPr>
                <w:rFonts w:ascii="Calibri" w:hAnsi="Calibri"/>
                <w:sz w:val="22"/>
              </w:rPr>
              <w:t>97.0%</w:t>
            </w:r>
          </w:p>
        </w:tc>
        <w:tc>
          <w:tcPr>
            <w:tcW w:type="dxa" w:w="1728"/>
          </w:tcPr>
          <w:p>
            <w:r>
              <w:rPr>
                <w:rFonts w:ascii="Calibri" w:hAnsi="Calibri"/>
                <w:sz w:val="22"/>
              </w:rPr>
              <w:t>+0.4 pts</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84.7%</w:t>
            </w:r>
          </w:p>
        </w:tc>
        <w:tc>
          <w:tcPr>
            <w:tcW w:type="dxa" w:w="1728"/>
          </w:tcPr>
          <w:p>
            <w:r>
              <w:rPr>
                <w:rFonts w:ascii="Calibri" w:hAnsi="Calibri"/>
                <w:sz w:val="22"/>
              </w:rPr>
              <w:t>93.8%</w:t>
            </w:r>
          </w:p>
        </w:tc>
        <w:tc>
          <w:tcPr>
            <w:tcW w:type="dxa" w:w="1728"/>
          </w:tcPr>
          <w:p>
            <w:r>
              <w:rPr>
                <w:rFonts w:ascii="Calibri" w:hAnsi="Calibri"/>
                <w:sz w:val="22"/>
              </w:rPr>
              <w:t>-9.1 pts</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113.3%</w:t>
            </w:r>
          </w:p>
        </w:tc>
        <w:tc>
          <w:tcPr>
            <w:tcW w:type="dxa" w:w="1728"/>
          </w:tcPr>
          <w:p>
            <w:r>
              <w:rPr>
                <w:rFonts w:ascii="Calibri" w:hAnsi="Calibri"/>
                <w:sz w:val="22"/>
              </w:rPr>
              <w:t>115.6%</w:t>
            </w:r>
          </w:p>
        </w:tc>
        <w:tc>
          <w:tcPr>
            <w:tcW w:type="dxa" w:w="1728"/>
          </w:tcPr>
          <w:p>
            <w:r>
              <w:rPr>
                <w:rFonts w:ascii="Calibri" w:hAnsi="Calibri"/>
                <w:sz w:val="22"/>
              </w:rPr>
              <w:t>-2.3 pts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94.9%</w:t>
            </w:r>
          </w:p>
        </w:tc>
        <w:tc>
          <w:tcPr>
            <w:tcW w:type="dxa" w:w="1728"/>
          </w:tcPr>
          <w:p>
            <w:r>
              <w:rPr>
                <w:rFonts w:ascii="Calibri" w:hAnsi="Calibri"/>
                <w:sz w:val="22"/>
              </w:rPr>
              <w:t>98.9%</w:t>
            </w:r>
          </w:p>
        </w:tc>
        <w:tc>
          <w:tcPr>
            <w:tcW w:type="dxa" w:w="1728"/>
          </w:tcPr>
          <w:p>
            <w:r>
              <w:rPr>
                <w:rFonts w:ascii="Calibri" w:hAnsi="Calibri"/>
                <w:sz w:val="22"/>
              </w:rPr>
              <w:t>-4.0 pts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88.2%</w:t>
            </w:r>
          </w:p>
        </w:tc>
        <w:tc>
          <w:tcPr>
            <w:tcW w:type="dxa" w:w="1728"/>
          </w:tcPr>
          <w:p>
            <w:r>
              <w:rPr>
                <w:rFonts w:ascii="Calibri" w:hAnsi="Calibri"/>
                <w:sz w:val="22"/>
              </w:rPr>
              <w:t>94.3%</w:t>
            </w:r>
          </w:p>
        </w:tc>
        <w:tc>
          <w:tcPr>
            <w:tcW w:type="dxa" w:w="1728"/>
          </w:tcPr>
          <w:p>
            <w:r>
              <w:rPr>
                <w:rFonts w:ascii="Calibri" w:hAnsi="Calibri"/>
                <w:sz w:val="22"/>
              </w:rPr>
              <w:t>-6.1 pts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85.2%</w:t>
            </w:r>
          </w:p>
        </w:tc>
        <w:tc>
          <w:tcPr>
            <w:tcW w:type="dxa" w:w="1728"/>
          </w:tcPr>
          <w:p>
            <w:r>
              <w:rPr>
                <w:rFonts w:ascii="Calibri" w:hAnsi="Calibri"/>
                <w:sz w:val="22"/>
              </w:rPr>
              <w:t>87.8%</w:t>
            </w:r>
          </w:p>
        </w:tc>
        <w:tc>
          <w:tcPr>
            <w:tcW w:type="dxa" w:w="1728"/>
          </w:tcPr>
          <w:p>
            <w:r>
              <w:rPr>
                <w:rFonts w:ascii="Calibri" w:hAnsi="Calibri"/>
                <w:sz w:val="22"/>
              </w:rPr>
              <w:t>-2.6 pts</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95.6%</w:t>
            </w:r>
          </w:p>
        </w:tc>
        <w:tc>
          <w:tcPr>
            <w:tcW w:type="dxa" w:w="1728"/>
          </w:tcPr>
          <w:p>
            <w:r>
              <w:rPr>
                <w:rFonts w:ascii="Calibri" w:hAnsi="Calibri"/>
                <w:sz w:val="22"/>
              </w:rPr>
              <w:t>95.6%</w:t>
            </w:r>
          </w:p>
        </w:tc>
        <w:tc>
          <w:tcPr>
            <w:tcW w:type="dxa" w:w="1728"/>
          </w:tcPr>
          <w:p>
            <w:r>
              <w:rPr>
                <w:rFonts w:ascii="Calibri" w:hAnsi="Calibri"/>
                <w:sz w:val="22"/>
              </w:rPr>
              <w:t>0.0 pts</w:t>
            </w:r>
          </w:p>
        </w:tc>
        <w:tc>
          <w:tcPr>
            <w:tcW w:type="dxa" w:w="1728"/>
          </w:tcPr>
          <w:p>
            <w:r>
              <w:rPr>
                <w:rFonts w:ascii="Calibri" w:hAnsi="Calibri"/>
                <w:sz w:val="22"/>
              </w:rPr>
              <w:t>In Line</w:t>
            </w:r>
          </w:p>
        </w:tc>
      </w:tr>
    </w:tbl>
    <w:p>
      <w:r>
        <w:rPr>
          <w:rFonts w:ascii="Calibri" w:hAnsi="Calibri"/>
          <w:b/>
          <w:color w:val="525866"/>
          <w:sz w:val="22"/>
        </w:rPr>
        <w:t xml:space="preserve">Pattern: </w:t>
      </w:r>
      <w:r>
        <w:rPr>
          <w:rFonts w:ascii="Calibri" w:hAnsi="Calibri"/>
          <w:color w:val="525866"/>
          <w:sz w:val="22"/>
        </w:rPr>
        <w:t>CINF has beaten combined ratio consensus in 7 of the last 8 quarters, with the sole miss being a narrow 0.4-point miss in Q3 2024 and an in-line print in Q1 2026 — a remarkably consistent track record of underwriting outperformance vs. Street expectations. Source: Visible Alpha Consensus and Actuals Data.</w:t>
      </w:r>
    </w:p>
    <w:p>
      <w:r>
        <w:rPr>
          <w:rFonts w:ascii="Calibri" w:hAnsi="Calibri"/>
          <w:b/>
          <w:color w:val="525866"/>
          <w:sz w:val="22"/>
        </w:rPr>
        <w:t>Top KPI #2: Operating EPS ($)</w:t>
      </w:r>
      <w:r>
        <w:rPr>
          <w:rFonts w:ascii="Calibri" w:hAnsi="Calibri"/>
          <w:color w:val="525866"/>
          <w:sz w:val="22"/>
        </w:rPr>
        <w:t xml:space="preserve"> (higher = better; a beat = reported above consensus)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$1.29</w:t>
            </w:r>
          </w:p>
        </w:tc>
        <w:tc>
          <w:tcPr>
            <w:tcW w:type="dxa" w:w="1728"/>
          </w:tcPr>
          <w:p>
            <w:r>
              <w:rPr>
                <w:rFonts w:ascii="Calibri" w:hAnsi="Calibri"/>
                <w:sz w:val="22"/>
              </w:rPr>
              <w:t>$0.96</w:t>
            </w:r>
          </w:p>
        </w:tc>
        <w:tc>
          <w:tcPr>
            <w:tcW w:type="dxa" w:w="1728"/>
          </w:tcPr>
          <w:p>
            <w:r>
              <w:rPr>
                <w:rFonts w:ascii="Calibri" w:hAnsi="Calibri"/>
                <w:sz w:val="22"/>
              </w:rPr>
              <w:t>+34.4%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$1.42</w:t>
            </w:r>
          </w:p>
        </w:tc>
        <w:tc>
          <w:tcPr>
            <w:tcW w:type="dxa" w:w="1728"/>
          </w:tcPr>
          <w:p>
            <w:r>
              <w:rPr>
                <w:rFonts w:ascii="Calibri" w:hAnsi="Calibri"/>
                <w:sz w:val="22"/>
              </w:rPr>
              <w:t>$1.45</w:t>
            </w:r>
          </w:p>
        </w:tc>
        <w:tc>
          <w:tcPr>
            <w:tcW w:type="dxa" w:w="1728"/>
          </w:tcPr>
          <w:p>
            <w:r>
              <w:rPr>
                <w:rFonts w:ascii="Calibri" w:hAnsi="Calibri"/>
                <w:sz w:val="22"/>
              </w:rPr>
              <w:t>-2.1%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$3.14</w:t>
            </w:r>
          </w:p>
        </w:tc>
        <w:tc>
          <w:tcPr>
            <w:tcW w:type="dxa" w:w="1728"/>
          </w:tcPr>
          <w:p>
            <w:r>
              <w:rPr>
                <w:rFonts w:ascii="Calibri" w:hAnsi="Calibri"/>
                <w:sz w:val="22"/>
              </w:rPr>
              <w:t>$1.88</w:t>
            </w:r>
          </w:p>
        </w:tc>
        <w:tc>
          <w:tcPr>
            <w:tcW w:type="dxa" w:w="1728"/>
          </w:tcPr>
          <w:p>
            <w:r>
              <w:rPr>
                <w:rFonts w:ascii="Calibri" w:hAnsi="Calibri"/>
                <w:sz w:val="22"/>
              </w:rPr>
              <w:t>+66.8%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-$0.24</w:t>
            </w:r>
          </w:p>
        </w:tc>
        <w:tc>
          <w:tcPr>
            <w:tcW w:type="dxa" w:w="1728"/>
          </w:tcPr>
          <w:p>
            <w:r>
              <w:rPr>
                <w:rFonts w:ascii="Calibri" w:hAnsi="Calibri"/>
                <w:sz w:val="22"/>
              </w:rPr>
              <w:t>-$0.61</w:t>
            </w:r>
          </w:p>
        </w:tc>
        <w:tc>
          <w:tcPr>
            <w:tcW w:type="dxa" w:w="1728"/>
          </w:tcPr>
          <w:p>
            <w:r>
              <w:rPr>
                <w:rFonts w:ascii="Calibri" w:hAnsi="Calibri"/>
                <w:sz w:val="22"/>
              </w:rPr>
              <w:t>+60.7% (smaller loss)</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$1.97</w:t>
            </w:r>
          </w:p>
        </w:tc>
        <w:tc>
          <w:tcPr>
            <w:tcW w:type="dxa" w:w="1728"/>
          </w:tcPr>
          <w:p>
            <w:r>
              <w:rPr>
                <w:rFonts w:ascii="Calibri" w:hAnsi="Calibri"/>
                <w:sz w:val="22"/>
              </w:rPr>
              <w:t>$1.40</w:t>
            </w:r>
          </w:p>
        </w:tc>
        <w:tc>
          <w:tcPr>
            <w:tcW w:type="dxa" w:w="1728"/>
          </w:tcPr>
          <w:p>
            <w:r>
              <w:rPr>
                <w:rFonts w:ascii="Calibri" w:hAnsi="Calibri"/>
                <w:sz w:val="22"/>
              </w:rPr>
              <w:t>+40.4%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$2.85</w:t>
            </w:r>
          </w:p>
        </w:tc>
        <w:tc>
          <w:tcPr>
            <w:tcW w:type="dxa" w:w="1728"/>
          </w:tcPr>
          <w:p>
            <w:r>
              <w:rPr>
                <w:rFonts w:ascii="Calibri" w:hAnsi="Calibri"/>
                <w:sz w:val="22"/>
              </w:rPr>
              <w:t>$1.99</w:t>
            </w:r>
          </w:p>
        </w:tc>
        <w:tc>
          <w:tcPr>
            <w:tcW w:type="dxa" w:w="1728"/>
          </w:tcPr>
          <w:p>
            <w:r>
              <w:rPr>
                <w:rFonts w:ascii="Calibri" w:hAnsi="Calibri"/>
                <w:sz w:val="22"/>
              </w:rPr>
              <w:t>+43.2%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$3.37</w:t>
            </w:r>
          </w:p>
        </w:tc>
        <w:tc>
          <w:tcPr>
            <w:tcW w:type="dxa" w:w="1728"/>
          </w:tcPr>
          <w:p>
            <w:r>
              <w:rPr>
                <w:rFonts w:ascii="Calibri" w:hAnsi="Calibri"/>
                <w:sz w:val="22"/>
              </w:rPr>
              <w:t>$2.85</w:t>
            </w:r>
          </w:p>
        </w:tc>
        <w:tc>
          <w:tcPr>
            <w:tcW w:type="dxa" w:w="1728"/>
          </w:tcPr>
          <w:p>
            <w:r>
              <w:rPr>
                <w:rFonts w:ascii="Calibri" w:hAnsi="Calibri"/>
                <w:sz w:val="22"/>
              </w:rPr>
              <w:t>+18.2%</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$2.10</w:t>
            </w:r>
          </w:p>
        </w:tc>
        <w:tc>
          <w:tcPr>
            <w:tcW w:type="dxa" w:w="1728"/>
          </w:tcPr>
          <w:p>
            <w:r>
              <w:rPr>
                <w:rFonts w:ascii="Calibri" w:hAnsi="Calibri"/>
                <w:sz w:val="22"/>
              </w:rPr>
              <w:t>$1.95</w:t>
            </w:r>
          </w:p>
        </w:tc>
        <w:tc>
          <w:tcPr>
            <w:tcW w:type="dxa" w:w="1728"/>
          </w:tcPr>
          <w:p>
            <w:r>
              <w:rPr>
                <w:rFonts w:ascii="Calibri" w:hAnsi="Calibri"/>
                <w:sz w:val="22"/>
              </w:rPr>
              <w:t>+7.9%</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CINF has beaten operating EPS consensus in 7 of the last 8 quarters (sole miss: Q3 2024, -2.1%), with beats frequently driven by lower-than-expected catastrophe losses. The magnitude of beats has been large when cat losses surprise favorably.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has not issued explicit quarterly guidance; the long-term combined ratio target of 92%–98% remains unchanged. Tone on the Q1 2026 call was measured — acknowledging softening commercial pricing but reaffirming disciplined underwriting; no post-earnings guidance revision events have occurred.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Combined Ratio — P&amp;C (%)</w:t>
            </w:r>
          </w:p>
        </w:tc>
        <w:tc>
          <w:tcPr>
            <w:tcW w:type="dxa" w:w="1728"/>
          </w:tcPr>
          <w:p>
            <w:r>
              <w:rPr>
                <w:rFonts w:ascii="Calibri" w:hAnsi="Calibri"/>
                <w:sz w:val="22"/>
              </w:rPr>
              <w:t>92%–98% long-term target; management acknowledged "more downward pressure on rate" but reaffirmed target range</w:t>
            </w:r>
          </w:p>
        </w:tc>
        <w:tc>
          <w:tcPr>
            <w:tcW w:type="dxa" w:w="1728"/>
          </w:tcPr>
          <w:p>
            <w:r>
              <w:rPr>
                <w:rFonts w:ascii="Calibri" w:hAnsi="Calibri"/>
                <w:sz w:val="22"/>
              </w:rPr>
              <w:t>—</w:t>
            </w:r>
          </w:p>
        </w:tc>
        <w:tc>
          <w:tcPr>
            <w:tcW w:type="dxa" w:w="1728"/>
          </w:tcPr>
          <w:p>
            <w:r>
              <w:rPr>
                <w:rFonts w:ascii="Calibri" w:hAnsi="Calibri"/>
                <w:sz w:val="22"/>
              </w:rPr>
              <w:t>97.3% (Q2 2026); 94.6% (FY 2026)</w:t>
            </w:r>
          </w:p>
        </w:tc>
        <w:tc>
          <w:tcPr>
            <w:tcW w:type="dxa" w:w="1728"/>
          </w:tcPr>
          <w:p>
            <w:r>
              <w:rPr>
                <w:rFonts w:ascii="Calibri" w:hAnsi="Calibri"/>
                <w:sz w:val="22"/>
              </w:rPr>
              <w:t>No post-earnings revision; target unchanged. Consensus within target range.</w:t>
            </w:r>
          </w:p>
        </w:tc>
      </w:tr>
      <w:tr>
        <w:tc>
          <w:tcPr>
            <w:tcW w:type="dxa" w:w="1728"/>
          </w:tcPr>
          <w:p>
            <w:r>
              <w:rPr>
                <w:rFonts w:ascii="Calibri" w:hAnsi="Calibri"/>
                <w:sz w:val="22"/>
              </w:rPr>
              <w:t>Commercial Lines Pricing</w:t>
            </w:r>
          </w:p>
        </w:tc>
        <w:tc>
          <w:tcPr>
            <w:tcW w:type="dxa" w:w="1728"/>
          </w:tcPr>
          <w:p>
            <w:r>
              <w:rPr>
                <w:rFonts w:ascii="Calibri" w:hAnsi="Calibri"/>
                <w:sz w:val="22"/>
              </w:rPr>
              <w:t>"Near the high end of the low single-digit percentage range" overall; casualty specifically at mid-single digits</w:t>
            </w:r>
          </w:p>
        </w:tc>
        <w:tc>
          <w:tcPr>
            <w:tcW w:type="dxa" w:w="1728"/>
          </w:tcPr>
          <w:p>
            <w:r>
              <w:rPr>
                <w:rFonts w:ascii="Calibri" w:hAnsi="Calibri"/>
                <w:sz w:val="22"/>
              </w:rPr>
              <w:t>—</w:t>
            </w:r>
          </w:p>
        </w:tc>
        <w:tc>
          <w:tcPr>
            <w:tcW w:type="dxa" w:w="1728"/>
          </w:tcPr>
          <w:p>
            <w:r>
              <w:rPr>
                <w:rFonts w:ascii="Calibri" w:hAnsi="Calibri"/>
                <w:sz w:val="22"/>
              </w:rPr>
              <w:t>N/A (no consensus KPI)</w:t>
            </w:r>
          </w:p>
        </w:tc>
        <w:tc>
          <w:tcPr>
            <w:tcW w:type="dxa" w:w="1728"/>
          </w:tcPr>
          <w:p>
            <w:r>
              <w:rPr>
                <w:rFonts w:ascii="Calibri" w:hAnsi="Calibri"/>
                <w:sz w:val="22"/>
              </w:rPr>
              <w:t>Pricing softening acknowledged; larger accounts seeing most pressure, especially commercial property</w:t>
            </w:r>
          </w:p>
        </w:tc>
      </w:tr>
      <w:tr>
        <w:tc>
          <w:tcPr>
            <w:tcW w:type="dxa" w:w="1728"/>
          </w:tcPr>
          <w:p>
            <w:r>
              <w:rPr>
                <w:rFonts w:ascii="Calibri" w:hAnsi="Calibri"/>
                <w:sz w:val="22"/>
              </w:rPr>
              <w:t>Personal Lines Pricing</w:t>
            </w:r>
          </w:p>
        </w:tc>
        <w:tc>
          <w:tcPr>
            <w:tcW w:type="dxa" w:w="1728"/>
          </w:tcPr>
          <w:p>
            <w:r>
              <w:rPr>
                <w:rFonts w:ascii="Calibri" w:hAnsi="Calibri"/>
                <w:sz w:val="22"/>
              </w:rPr>
              <w:t>"High single-digit range" for personal auto and homeowner</w:t>
            </w:r>
          </w:p>
        </w:tc>
        <w:tc>
          <w:tcPr>
            <w:tcW w:type="dxa" w:w="1728"/>
          </w:tcPr>
          <w:p>
            <w:r>
              <w:rPr>
                <w:rFonts w:ascii="Calibri" w:hAnsi="Calibri"/>
                <w:sz w:val="22"/>
              </w:rPr>
              <w:t>—</w:t>
            </w:r>
          </w:p>
        </w:tc>
        <w:tc>
          <w:tcPr>
            <w:tcW w:type="dxa" w:w="1728"/>
          </w:tcPr>
          <w:p>
            <w:r>
              <w:rPr>
                <w:rFonts w:ascii="Calibri" w:hAnsi="Calibri"/>
                <w:sz w:val="22"/>
              </w:rPr>
              <w:t>N/A (no consensus KPI)</w:t>
            </w:r>
          </w:p>
        </w:tc>
        <w:tc>
          <w:tcPr>
            <w:tcW w:type="dxa" w:w="1728"/>
          </w:tcPr>
          <w:p>
            <w:r>
              <w:rPr>
                <w:rFonts w:ascii="Calibri" w:hAnsi="Calibri"/>
                <w:sz w:val="22"/>
              </w:rPr>
              <w:t>Consistent with prior quarter; personal lines remains the strongest pricing segment</w:t>
            </w:r>
          </w:p>
        </w:tc>
      </w:tr>
      <w:tr>
        <w:tc>
          <w:tcPr>
            <w:tcW w:type="dxa" w:w="1728"/>
          </w:tcPr>
          <w:p>
            <w:r>
              <w:rPr>
                <w:rFonts w:ascii="Calibri" w:hAnsi="Calibri"/>
                <w:sz w:val="22"/>
              </w:rPr>
              <w:t>E&amp;S Lines Pricing</w:t>
            </w:r>
          </w:p>
        </w:tc>
        <w:tc>
          <w:tcPr>
            <w:tcW w:type="dxa" w:w="1728"/>
          </w:tcPr>
          <w:p>
            <w:r>
              <w:rPr>
                <w:rFonts w:ascii="Calibri" w:hAnsi="Calibri"/>
                <w:sz w:val="22"/>
              </w:rPr>
              <w:t>"Mid-single-digit range"</w:t>
            </w:r>
          </w:p>
        </w:tc>
        <w:tc>
          <w:tcPr>
            <w:tcW w:type="dxa" w:w="1728"/>
          </w:tcPr>
          <w:p>
            <w:r>
              <w:rPr>
                <w:rFonts w:ascii="Calibri" w:hAnsi="Calibri"/>
                <w:sz w:val="22"/>
              </w:rPr>
              <w:t>—</w:t>
            </w:r>
          </w:p>
        </w:tc>
        <w:tc>
          <w:tcPr>
            <w:tcW w:type="dxa" w:w="1728"/>
          </w:tcPr>
          <w:p>
            <w:r>
              <w:rPr>
                <w:rFonts w:ascii="Calibri" w:hAnsi="Calibri"/>
                <w:sz w:val="22"/>
              </w:rPr>
              <w:t>N/A (no consensus KPI)</w:t>
            </w:r>
          </w:p>
        </w:tc>
        <w:tc>
          <w:tcPr>
            <w:tcW w:type="dxa" w:w="1728"/>
          </w:tcPr>
          <w:p>
            <w:r>
              <w:rPr>
                <w:rFonts w:ascii="Calibri" w:hAnsi="Calibri"/>
                <w:sz w:val="22"/>
              </w:rPr>
              <w:t>Stable; E&amp;S growing 8% NWP in Q1 2026</w:t>
            </w:r>
          </w:p>
        </w:tc>
      </w:tr>
      <w:tr>
        <w:tc>
          <w:tcPr>
            <w:tcW w:type="dxa" w:w="1728"/>
          </w:tcPr>
          <w:p>
            <w:r>
              <w:rPr>
                <w:rFonts w:ascii="Calibri" w:hAnsi="Calibri"/>
                <w:sz w:val="22"/>
              </w:rPr>
              <w:t>Net Written Premium Growth — P&amp;C</w:t>
            </w:r>
          </w:p>
        </w:tc>
        <w:tc>
          <w:tcPr>
            <w:tcW w:type="dxa" w:w="1728"/>
          </w:tcPr>
          <w:p>
            <w:r>
              <w:rPr>
                <w:rFonts w:ascii="Calibri" w:hAnsi="Calibri"/>
                <w:sz w:val="22"/>
              </w:rPr>
              <w:t>No explicit guidance; investor presentation targets "above industry average" growth (industry ~4% for FY 2026)</w:t>
            </w:r>
          </w:p>
        </w:tc>
        <w:tc>
          <w:tcPr>
            <w:tcW w:type="dxa" w:w="1728"/>
          </w:tcPr>
          <w:p>
            <w:r>
              <w:rPr>
                <w:rFonts w:ascii="Calibri" w:hAnsi="Calibri"/>
                <w:sz w:val="22"/>
              </w:rPr>
              <w:t>—</w:t>
            </w:r>
          </w:p>
        </w:tc>
        <w:tc>
          <w:tcPr>
            <w:tcW w:type="dxa" w:w="1728"/>
          </w:tcPr>
          <w:p>
            <w:r>
              <w:rPr>
                <w:rFonts w:ascii="Calibri" w:hAnsi="Calibri"/>
                <w:sz w:val="22"/>
              </w:rPr>
              <w:t>$2.895B (Q2 2026); $10.70B (FY 2026)</w:t>
            </w:r>
          </w:p>
        </w:tc>
        <w:tc>
          <w:tcPr>
            <w:tcW w:type="dxa" w:w="1728"/>
          </w:tcPr>
          <w:p>
            <w:r>
              <w:rPr>
                <w:rFonts w:ascii="Calibri" w:hAnsi="Calibri"/>
                <w:sz w:val="22"/>
              </w:rPr>
              <w:t>Consensus implies ~5.9% YoY growth in Q2 2026, above industry avg.</w:t>
            </w:r>
          </w:p>
        </w:tc>
      </w:tr>
      <w:tr>
        <w:tc>
          <w:tcPr>
            <w:tcW w:type="dxa" w:w="1728"/>
          </w:tcPr>
          <w:p>
            <w:r>
              <w:rPr>
                <w:rFonts w:ascii="Calibri" w:hAnsi="Calibri"/>
                <w:sz w:val="22"/>
              </w:rPr>
              <w:t>Investment Income (Net)</w:t>
            </w:r>
          </w:p>
        </w:tc>
        <w:tc>
          <w:tcPr>
            <w:tcW w:type="dxa" w:w="1728"/>
          </w:tcPr>
          <w:p>
            <w:r>
              <w:rPr>
                <w:rFonts w:ascii="Calibri" w:hAnsi="Calibri"/>
                <w:sz w:val="22"/>
              </w:rPr>
              <w:t>No explicit guidance; Q1 2026 grew 14% YoY; management cited "strong cash flow from insurance operations" as driver</w:t>
            </w:r>
          </w:p>
        </w:tc>
        <w:tc>
          <w:tcPr>
            <w:tcW w:type="dxa" w:w="1728"/>
          </w:tcPr>
          <w:p>
            <w:r>
              <w:rPr>
                <w:rFonts w:ascii="Calibri" w:hAnsi="Calibri"/>
                <w:sz w:val="22"/>
              </w:rPr>
              <w:t>—</w:t>
            </w:r>
          </w:p>
        </w:tc>
        <w:tc>
          <w:tcPr>
            <w:tcW w:type="dxa" w:w="1728"/>
          </w:tcPr>
          <w:p>
            <w:r>
              <w:rPr>
                <w:rFonts w:ascii="Calibri" w:hAnsi="Calibri"/>
                <w:sz w:val="22"/>
              </w:rPr>
              <w:t>$315M (Q2 2026); $1.287B (FY 2026)</w:t>
            </w:r>
          </w:p>
        </w:tc>
        <w:tc>
          <w:tcPr>
            <w:tcW w:type="dxa" w:w="1728"/>
          </w:tcPr>
          <w:p>
            <w:r>
              <w:rPr>
                <w:rFonts w:ascii="Calibri" w:hAnsi="Calibri"/>
                <w:sz w:val="22"/>
              </w:rPr>
              <w:t>Consensus implies continued growth; FY 2026 consensus of $1.287B implies ~10.5% YoY growth</w:t>
            </w:r>
          </w:p>
        </w:tc>
      </w:tr>
      <w:tr>
        <w:tc>
          <w:tcPr>
            <w:tcW w:type="dxa" w:w="1728"/>
          </w:tcPr>
          <w:p>
            <w:r>
              <w:rPr>
                <w:rFonts w:ascii="Calibri" w:hAnsi="Calibri"/>
                <w:sz w:val="22"/>
              </w:rPr>
              <w:t>Capital Return / Share Repurchases</w:t>
            </w:r>
          </w:p>
        </w:tc>
        <w:tc>
          <w:tcPr>
            <w:tcW w:type="dxa" w:w="1728"/>
          </w:tcPr>
          <w:p>
            <w:r>
              <w:rPr>
                <w:rFonts w:ascii="Calibri" w:hAnsi="Calibri"/>
                <w:sz w:val="22"/>
              </w:rPr>
              <w:t>Q1 2026 repurchases described as "maintenance plus"; management indicated flexibility to adjust based on valuation and growth opportunities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 in posture; 65 consecutive years of dividend increases maintained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modestly higher since the Q1 2026 print — operating EPS for Q2 2026 is up ~4.4% and FY 2026 up ~0.8% — suggesting the Street is incrementally more constructive but not aggressively raising the bar. Combined ratio estimates have improved (ticked lower) for both Q2 and FY 2026, consistent with the favorable underwriting trend. The gap between consensus and the long-term combined ratio target remains comfortable.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2026 Earnings, ~May 2, 2026)</w:t>
            </w:r>
          </w:p>
        </w:tc>
        <w:tc>
          <w:tcPr>
            <w:tcW w:type="dxa" w:w="1080"/>
            <w:shd w:val="clear" w:color="auto" w:fill="3B4259"/>
          </w:tcPr>
          <w:p>
            <w:r>
              <w:rPr>
                <w:rFonts w:ascii="Calibri" w:hAnsi="Calibri"/>
                <w:b/>
                <w:color w:val="FFFFFF"/>
                <w:sz w:val="22"/>
              </w:rPr>
              <w:t>Current Consensus (Jul 26,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$1.74</w:t>
            </w:r>
          </w:p>
        </w:tc>
        <w:tc>
          <w:tcPr>
            <w:tcW w:type="dxa" w:w="1080"/>
          </w:tcPr>
          <w:p>
            <w:r>
              <w:rPr>
                <w:rFonts w:ascii="Calibri" w:hAnsi="Calibri"/>
                <w:sz w:val="22"/>
              </w:rPr>
              <w:t>$1.82</w:t>
            </w:r>
          </w:p>
        </w:tc>
        <w:tc>
          <w:tcPr>
            <w:tcW w:type="dxa" w:w="1080"/>
          </w:tcPr>
          <w:p>
            <w:r>
              <w:rPr>
                <w:rFonts w:ascii="Calibri" w:hAnsi="Calibri"/>
                <w:b/>
                <w:color w:val="30A46C"/>
                <w:sz w:val="22"/>
              </w:rPr>
              <w:t>+4.4%</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$8.79</w:t>
            </w:r>
          </w:p>
        </w:tc>
        <w:tc>
          <w:tcPr>
            <w:tcW w:type="dxa" w:w="1080"/>
          </w:tcPr>
          <w:p>
            <w:r>
              <w:rPr>
                <w:rFonts w:ascii="Calibri" w:hAnsi="Calibri"/>
                <w:sz w:val="22"/>
              </w:rPr>
              <w:t>$8.86</w:t>
            </w:r>
          </w:p>
        </w:tc>
        <w:tc>
          <w:tcPr>
            <w:tcW w:type="dxa" w:w="1080"/>
          </w:tcPr>
          <w:p>
            <w:r>
              <w:rPr>
                <w:rFonts w:ascii="Calibri" w:hAnsi="Calibri"/>
                <w:b/>
                <w:color w:val="30A46C"/>
                <w:sz w:val="22"/>
              </w:rPr>
              <w:t>+0.8%</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Combined Ratio — Q2 2026 (%)</w:t>
            </w:r>
          </w:p>
        </w:tc>
        <w:tc>
          <w:tcPr>
            <w:tcW w:type="dxa" w:w="1080"/>
          </w:tcPr>
          <w:p>
            <w:r>
              <w:rPr>
                <w:rFonts w:ascii="Calibri" w:hAnsi="Calibri"/>
                <w:sz w:val="22"/>
              </w:rPr>
              <w:t>97.9%</w:t>
            </w:r>
          </w:p>
        </w:tc>
        <w:tc>
          <w:tcPr>
            <w:tcW w:type="dxa" w:w="1080"/>
          </w:tcPr>
          <w:p>
            <w:r>
              <w:rPr>
                <w:rFonts w:ascii="Calibri" w:hAnsi="Calibri"/>
                <w:sz w:val="22"/>
              </w:rPr>
              <w:t>97.3%</w:t>
            </w:r>
          </w:p>
        </w:tc>
        <w:tc>
          <w:tcPr>
            <w:tcW w:type="dxa" w:w="1080"/>
          </w:tcPr>
          <w:p>
            <w:r>
              <w:rPr>
                <w:rFonts w:ascii="Calibri" w:hAnsi="Calibri"/>
                <w:b/>
                <w:color w:val="30A46C"/>
                <w:sz w:val="22"/>
              </w:rPr>
              <w:t>-0.6 pts (improved)</w:t>
            </w:r>
          </w:p>
        </w:tc>
        <w:tc>
          <w:tcPr>
            <w:tcW w:type="dxa" w:w="1080"/>
          </w:tcPr>
          <w:p>
            <w:r>
              <w:rPr>
                <w:rFonts w:ascii="Calibri" w:hAnsi="Calibri"/>
                <w:sz w:val="22"/>
              </w:rPr>
              <w:t>92%–98% LT target</w:t>
            </w:r>
          </w:p>
        </w:tc>
        <w:tc>
          <w:tcPr>
            <w:tcW w:type="dxa" w:w="1080"/>
          </w:tcPr>
          <w:p>
            <w:r>
              <w:rPr>
                <w:rFonts w:ascii="Calibri" w:hAnsi="Calibri"/>
                <w:sz w:val="22"/>
              </w:rPr>
              <w:t>92%–98% LT target (unchanged)</w:t>
            </w:r>
          </w:p>
        </w:tc>
        <w:tc>
          <w:tcPr>
            <w:tcW w:type="dxa" w:w="1080"/>
          </w:tcPr>
          <w:p>
            <w:r>
              <w:rPr>
                <w:rFonts w:ascii="Calibri" w:hAnsi="Calibri"/>
                <w:sz w:val="22"/>
              </w:rPr>
              <w:t>Unchanged</w:t>
            </w:r>
          </w:p>
        </w:tc>
        <w:tc>
          <w:tcPr>
            <w:tcW w:type="dxa" w:w="1080"/>
          </w:tcPr>
          <w:p>
            <w:r>
              <w:rPr>
                <w:rFonts w:ascii="Calibri" w:hAnsi="Calibri"/>
                <w:sz w:val="22"/>
              </w:rPr>
              <w:t>Within target range</w:t>
            </w:r>
          </w:p>
        </w:tc>
      </w:tr>
      <w:tr>
        <w:tc>
          <w:tcPr>
            <w:tcW w:type="dxa" w:w="1080"/>
          </w:tcPr>
          <w:p>
            <w:r>
              <w:rPr>
                <w:rFonts w:ascii="Calibri" w:hAnsi="Calibri"/>
                <w:sz w:val="22"/>
              </w:rPr>
              <w:t>Combined Ratio — FY 2026 (%)</w:t>
            </w:r>
          </w:p>
        </w:tc>
        <w:tc>
          <w:tcPr>
            <w:tcW w:type="dxa" w:w="1080"/>
          </w:tcPr>
          <w:p>
            <w:r>
              <w:rPr>
                <w:rFonts w:ascii="Calibri" w:hAnsi="Calibri"/>
                <w:sz w:val="22"/>
              </w:rPr>
              <w:t>94.8%</w:t>
            </w:r>
          </w:p>
        </w:tc>
        <w:tc>
          <w:tcPr>
            <w:tcW w:type="dxa" w:w="1080"/>
          </w:tcPr>
          <w:p>
            <w:r>
              <w:rPr>
                <w:rFonts w:ascii="Calibri" w:hAnsi="Calibri"/>
                <w:sz w:val="22"/>
              </w:rPr>
              <w:t>94.6%</w:t>
            </w:r>
          </w:p>
        </w:tc>
        <w:tc>
          <w:tcPr>
            <w:tcW w:type="dxa" w:w="1080"/>
          </w:tcPr>
          <w:p>
            <w:r>
              <w:rPr>
                <w:rFonts w:ascii="Calibri" w:hAnsi="Calibri"/>
                <w:b/>
                <w:color w:val="30A46C"/>
                <w:sz w:val="22"/>
              </w:rPr>
              <w:t>-0.2 pts (improved)</w:t>
            </w:r>
          </w:p>
        </w:tc>
        <w:tc>
          <w:tcPr>
            <w:tcW w:type="dxa" w:w="1080"/>
          </w:tcPr>
          <w:p>
            <w:r>
              <w:rPr>
                <w:rFonts w:ascii="Calibri" w:hAnsi="Calibri"/>
                <w:sz w:val="22"/>
              </w:rPr>
              <w:t>92%–98% LT target</w:t>
            </w:r>
          </w:p>
        </w:tc>
        <w:tc>
          <w:tcPr>
            <w:tcW w:type="dxa" w:w="1080"/>
          </w:tcPr>
          <w:p>
            <w:r>
              <w:rPr>
                <w:rFonts w:ascii="Calibri" w:hAnsi="Calibri"/>
                <w:sz w:val="22"/>
              </w:rPr>
              <w:t>92%–98% LT target (unchanged)</w:t>
            </w:r>
          </w:p>
        </w:tc>
        <w:tc>
          <w:tcPr>
            <w:tcW w:type="dxa" w:w="1080"/>
          </w:tcPr>
          <w:p>
            <w:r>
              <w:rPr>
                <w:rFonts w:ascii="Calibri" w:hAnsi="Calibri"/>
                <w:sz w:val="22"/>
              </w:rPr>
              <w:t>Unchanged</w:t>
            </w:r>
          </w:p>
        </w:tc>
        <w:tc>
          <w:tcPr>
            <w:tcW w:type="dxa" w:w="1080"/>
          </w:tcPr>
          <w:p>
            <w:r>
              <w:rPr>
                <w:rFonts w:ascii="Calibri" w:hAnsi="Calibri"/>
                <w:sz w:val="22"/>
              </w:rPr>
              <w:t>Within target range</w:t>
            </w:r>
          </w:p>
        </w:tc>
      </w:tr>
      <w:tr>
        <w:tc>
          <w:tcPr>
            <w:tcW w:type="dxa" w:w="1080"/>
          </w:tcPr>
          <w:p>
            <w:r>
              <w:rPr>
                <w:rFonts w:ascii="Calibri" w:hAnsi="Calibri"/>
                <w:sz w:val="22"/>
              </w:rPr>
              <w:t>Net Written Premium — Q2 2026 ($B)</w:t>
            </w:r>
          </w:p>
        </w:tc>
        <w:tc>
          <w:tcPr>
            <w:tcW w:type="dxa" w:w="1080"/>
          </w:tcPr>
          <w:p>
            <w:r>
              <w:rPr>
                <w:rFonts w:ascii="Calibri" w:hAnsi="Calibri"/>
                <w:sz w:val="22"/>
              </w:rPr>
              <w:t>$2.903B</w:t>
            </w:r>
          </w:p>
        </w:tc>
        <w:tc>
          <w:tcPr>
            <w:tcW w:type="dxa" w:w="1080"/>
          </w:tcPr>
          <w:p>
            <w:r>
              <w:rPr>
                <w:rFonts w:ascii="Calibri" w:hAnsi="Calibri"/>
                <w:sz w:val="22"/>
              </w:rPr>
              <w:t>$2.895B</w:t>
            </w:r>
          </w:p>
        </w:tc>
        <w:tc>
          <w:tcPr>
            <w:tcW w:type="dxa" w:w="1080"/>
          </w:tcPr>
          <w:p>
            <w:r>
              <w:rPr>
                <w:rFonts w:ascii="Calibri" w:hAnsi="Calibri"/>
                <w:b/>
                <w:color w:val="E5484D"/>
                <w:sz w:val="22"/>
              </w:rPr>
              <w:t>-0.3%</w:t>
            </w:r>
          </w:p>
        </w:tc>
        <w:tc>
          <w:tcPr>
            <w:tcW w:type="dxa" w:w="1080"/>
          </w:tcPr>
          <w:p>
            <w:r>
              <w:rPr>
                <w:rFonts w:ascii="Calibri" w:hAnsi="Calibri"/>
                <w:sz w:val="22"/>
              </w:rPr>
              <w:t>Above industry avg. growth</w:t>
            </w:r>
          </w:p>
        </w:tc>
        <w:tc>
          <w:tcPr>
            <w:tcW w:type="dxa" w:w="1080"/>
          </w:tcPr>
          <w:p>
            <w:r>
              <w:rPr>
                <w:rFonts w:ascii="Calibri" w:hAnsi="Calibri"/>
                <w:sz w:val="22"/>
              </w:rPr>
              <w:t>Above industry avg. growth (unchanged)</w:t>
            </w:r>
          </w:p>
        </w:tc>
        <w:tc>
          <w:tcPr>
            <w:tcW w:type="dxa" w:w="1080"/>
          </w:tcPr>
          <w:p>
            <w:r>
              <w:rPr>
                <w:rFonts w:ascii="Calibri" w:hAnsi="Calibri"/>
                <w:sz w:val="22"/>
              </w:rPr>
              <w:t>Unchanged</w:t>
            </w:r>
          </w:p>
        </w:tc>
        <w:tc>
          <w:tcPr>
            <w:tcW w:type="dxa" w:w="1080"/>
          </w:tcPr>
          <w:p>
            <w:r>
              <w:rPr>
                <w:rFonts w:ascii="Calibri" w:hAnsi="Calibri"/>
                <w:sz w:val="22"/>
              </w:rPr>
              <w:t>Consensus implies ~5.9% YoY growth</w:t>
            </w:r>
          </w:p>
        </w:tc>
      </w:tr>
      <w:tr>
        <w:tc>
          <w:tcPr>
            <w:tcW w:type="dxa" w:w="1080"/>
          </w:tcPr>
          <w:p>
            <w:r>
              <w:rPr>
                <w:rFonts w:ascii="Calibri" w:hAnsi="Calibri"/>
                <w:sz w:val="22"/>
              </w:rPr>
              <w:t>Net Written Premium — FY 2026 ($B)</w:t>
            </w:r>
          </w:p>
        </w:tc>
        <w:tc>
          <w:tcPr>
            <w:tcW w:type="dxa" w:w="1080"/>
          </w:tcPr>
          <w:p>
            <w:r>
              <w:rPr>
                <w:rFonts w:ascii="Calibri" w:hAnsi="Calibri"/>
                <w:sz w:val="22"/>
              </w:rPr>
              <w:t>$10.725B</w:t>
            </w:r>
          </w:p>
        </w:tc>
        <w:tc>
          <w:tcPr>
            <w:tcW w:type="dxa" w:w="1080"/>
          </w:tcPr>
          <w:p>
            <w:r>
              <w:rPr>
                <w:rFonts w:ascii="Calibri" w:hAnsi="Calibri"/>
                <w:sz w:val="22"/>
              </w:rPr>
              <w:t>$10.702B</w:t>
            </w:r>
          </w:p>
        </w:tc>
        <w:tc>
          <w:tcPr>
            <w:tcW w:type="dxa" w:w="1080"/>
          </w:tcPr>
          <w:p>
            <w:r>
              <w:rPr>
                <w:rFonts w:ascii="Calibri" w:hAnsi="Calibri"/>
                <w:sz w:val="22"/>
              </w:rPr>
              <w:t>-0.2%</w:t>
            </w:r>
          </w:p>
        </w:tc>
        <w:tc>
          <w:tcPr>
            <w:tcW w:type="dxa" w:w="1080"/>
          </w:tcPr>
          <w:p>
            <w:r>
              <w:rPr>
                <w:rFonts w:ascii="Calibri" w:hAnsi="Calibri"/>
                <w:sz w:val="22"/>
              </w:rPr>
              <w:t>Above industry avg. growth</w:t>
            </w:r>
          </w:p>
        </w:tc>
        <w:tc>
          <w:tcPr>
            <w:tcW w:type="dxa" w:w="1080"/>
          </w:tcPr>
          <w:p>
            <w:r>
              <w:rPr>
                <w:rFonts w:ascii="Calibri" w:hAnsi="Calibri"/>
                <w:sz w:val="22"/>
              </w:rPr>
              <w:t>Above industry avg. growth (unchanged)</w:t>
            </w:r>
          </w:p>
        </w:tc>
        <w:tc>
          <w:tcPr>
            <w:tcW w:type="dxa" w:w="1080"/>
          </w:tcPr>
          <w:p>
            <w:r>
              <w:rPr>
                <w:rFonts w:ascii="Calibri" w:hAnsi="Calibri"/>
                <w:sz w:val="22"/>
              </w:rPr>
              <w:t>Unchanged</w:t>
            </w:r>
          </w:p>
        </w:tc>
        <w:tc>
          <w:tcPr>
            <w:tcW w:type="dxa" w:w="1080"/>
          </w:tcPr>
          <w:p>
            <w:r>
              <w:rPr>
                <w:rFonts w:ascii="Calibri" w:hAnsi="Calibri"/>
                <w:sz w:val="22"/>
              </w:rPr>
              <w:t>Consensus implies ~7.2% YoY growth</w:t>
            </w:r>
          </w:p>
        </w:tc>
      </w:tr>
      <w:tr>
        <w:tc>
          <w:tcPr>
            <w:tcW w:type="dxa" w:w="1080"/>
          </w:tcPr>
          <w:p>
            <w:r>
              <w:rPr>
                <w:rFonts w:ascii="Calibri" w:hAnsi="Calibri"/>
                <w:sz w:val="22"/>
              </w:rPr>
              <w:t>Net Investment Income — Q2 2026 ($M)</w:t>
            </w:r>
          </w:p>
        </w:tc>
        <w:tc>
          <w:tcPr>
            <w:tcW w:type="dxa" w:w="1080"/>
          </w:tcPr>
          <w:p>
            <w:r>
              <w:rPr>
                <w:rFonts w:ascii="Calibri" w:hAnsi="Calibri"/>
                <w:sz w:val="22"/>
              </w:rPr>
              <w:t>$317M</w:t>
            </w:r>
          </w:p>
        </w:tc>
        <w:tc>
          <w:tcPr>
            <w:tcW w:type="dxa" w:w="1080"/>
          </w:tcPr>
          <w:p>
            <w:r>
              <w:rPr>
                <w:rFonts w:ascii="Calibri" w:hAnsi="Calibri"/>
                <w:sz w:val="22"/>
              </w:rPr>
              <w:t>$315M</w:t>
            </w:r>
          </w:p>
        </w:tc>
        <w:tc>
          <w:tcPr>
            <w:tcW w:type="dxa" w:w="1080"/>
          </w:tcPr>
          <w:p>
            <w:r>
              <w:rPr>
                <w:rFonts w:ascii="Calibri" w:hAnsi="Calibri"/>
                <w:sz w:val="22"/>
              </w:rPr>
              <w:t>-0.6%</w:t>
            </w:r>
          </w:p>
        </w:tc>
        <w:tc>
          <w:tcPr>
            <w:tcW w:type="dxa" w:w="1080"/>
          </w:tcPr>
          <w:p>
            <w:r>
              <w:rPr>
                <w:rFonts w:ascii="Calibri" w:hAnsi="Calibri"/>
                <w:sz w:val="22"/>
              </w:rPr>
              <w:t>Continued growth; 14% YoY in Q1 2026</w:t>
            </w:r>
          </w:p>
        </w:tc>
        <w:tc>
          <w:tcPr>
            <w:tcW w:type="dxa" w:w="1080"/>
          </w:tcPr>
          <w:p>
            <w:r>
              <w:rPr>
                <w:rFonts w:ascii="Calibri" w:hAnsi="Calibri"/>
                <w:sz w:val="22"/>
              </w:rPr>
              <w:t>Continued growth (unchanged)</w:t>
            </w:r>
          </w:p>
        </w:tc>
        <w:tc>
          <w:tcPr>
            <w:tcW w:type="dxa" w:w="1080"/>
          </w:tcPr>
          <w:p>
            <w:r>
              <w:rPr>
                <w:rFonts w:ascii="Calibri" w:hAnsi="Calibri"/>
                <w:sz w:val="22"/>
              </w:rPr>
              <w:t>Unchanged</w:t>
            </w:r>
          </w:p>
        </w:tc>
        <w:tc>
          <w:tcPr>
            <w:tcW w:type="dxa" w:w="1080"/>
          </w:tcPr>
          <w:p>
            <w:r>
              <w:rPr>
                <w:rFonts w:ascii="Calibri" w:hAnsi="Calibri"/>
                <w:sz w:val="22"/>
              </w:rPr>
              <w:t>Consensus implies +10.5% YoY</w:t>
            </w:r>
          </w:p>
        </w:tc>
      </w:tr>
      <w:tr>
        <w:tc>
          <w:tcPr>
            <w:tcW w:type="dxa" w:w="1080"/>
          </w:tcPr>
          <w:p>
            <w:r>
              <w:rPr>
                <w:rFonts w:ascii="Calibri" w:hAnsi="Calibri"/>
                <w:sz w:val="22"/>
              </w:rPr>
              <w:t>Net Investment Income — FY 2026 ($B)</w:t>
            </w:r>
          </w:p>
        </w:tc>
        <w:tc>
          <w:tcPr>
            <w:tcW w:type="dxa" w:w="1080"/>
          </w:tcPr>
          <w:p>
            <w:r>
              <w:rPr>
                <w:rFonts w:ascii="Calibri" w:hAnsi="Calibri"/>
                <w:sz w:val="22"/>
              </w:rPr>
              <w:t>$1.291B</w:t>
            </w:r>
          </w:p>
        </w:tc>
        <w:tc>
          <w:tcPr>
            <w:tcW w:type="dxa" w:w="1080"/>
          </w:tcPr>
          <w:p>
            <w:r>
              <w:rPr>
                <w:rFonts w:ascii="Calibri" w:hAnsi="Calibri"/>
                <w:sz w:val="22"/>
              </w:rPr>
              <w:t>$1.287B</w:t>
            </w:r>
          </w:p>
        </w:tc>
        <w:tc>
          <w:tcPr>
            <w:tcW w:type="dxa" w:w="1080"/>
          </w:tcPr>
          <w:p>
            <w:r>
              <w:rPr>
                <w:rFonts w:ascii="Calibri" w:hAnsi="Calibri"/>
                <w:sz w:val="22"/>
              </w:rPr>
              <w:t>-0.3%</w:t>
            </w:r>
          </w:p>
        </w:tc>
        <w:tc>
          <w:tcPr>
            <w:tcW w:type="dxa" w:w="1080"/>
          </w:tcPr>
          <w:p>
            <w:r>
              <w:rPr>
                <w:rFonts w:ascii="Calibri" w:hAnsi="Calibri"/>
                <w:sz w:val="22"/>
              </w:rPr>
              <w:t>Continued growth</w:t>
            </w:r>
          </w:p>
        </w:tc>
        <w:tc>
          <w:tcPr>
            <w:tcW w:type="dxa" w:w="1080"/>
          </w:tcPr>
          <w:p>
            <w:r>
              <w:rPr>
                <w:rFonts w:ascii="Calibri" w:hAnsi="Calibri"/>
                <w:sz w:val="22"/>
              </w:rPr>
              <w:t>Continued growth (unchanged)</w:t>
            </w:r>
          </w:p>
        </w:tc>
        <w:tc>
          <w:tcPr>
            <w:tcW w:type="dxa" w:w="1080"/>
          </w:tcPr>
          <w:p>
            <w:r>
              <w:rPr>
                <w:rFonts w:ascii="Calibri" w:hAnsi="Calibri"/>
                <w:sz w:val="22"/>
              </w:rPr>
              <w:t>Unchanged</w:t>
            </w:r>
          </w:p>
        </w:tc>
        <w:tc>
          <w:tcPr>
            <w:tcW w:type="dxa" w:w="1080"/>
          </w:tcPr>
          <w:p>
            <w:r>
              <w:rPr>
                <w:rFonts w:ascii="Calibri" w:hAnsi="Calibri"/>
                <w:sz w:val="22"/>
              </w:rPr>
              <w:t>Consensus implies ~10.5% YoY growth</w:t>
            </w:r>
          </w:p>
        </w:tc>
      </w:tr>
    </w:tbl>
    <w:p>
      <w:r>
        <w:rPr>
          <w:rFonts w:ascii="Calibri" w:hAnsi="Calibri"/>
          <w:i/>
          <w:color w:val="525866"/>
          <w:sz w:val="22"/>
        </w:rPr>
        <w:t>Source: Visible Alpha Consensus and Actuals Data. Baseline as of ~5 trading days post Q1 2026 earnings (May 2, 2026). Current consensus as of July 26, 2026. Estimate revisions are tracking modestly positive for EPS and modestly improved for combined ratio, consistent with the favorable underwriting trend and no adverse guidance events since the Q1 print.</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CINF has rallied +10.4% since the Q1 2026 earnings date (April 27, 2026), roughly in line with the KIE insurance ETF (+11.0%) and well ahead of the S&amp;P 500 (+3.3%), suggesting the move has been sector-driven rather than CINF-specific alpha. The stock pulled back sharply in early July (from ~$192 to ~$172) before recovering, likely reflecting cat loss concerns as peers began reporting Q2 results.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CINF vs. KIE (SPDR S&amp;P Insurance ETF) vs. S&amp;P 500 — Indexed to 100 at April 27, 2026 (Q1 2026 Earnings Date). Source: Stock Price Data.</w:t>
      </w:r>
    </w:p>
    <w:p>
      <w:r>
        <w:rPr>
          <w:rFonts w:ascii="Calibri" w:hAnsi="Calibri"/>
          <w:b/>
          <w:color w:val="525866"/>
          <w:sz w:val="22"/>
        </w:rPr>
        <w:t xml:space="preserve">Key observations: </w:t>
      </w:r>
      <w:r>
        <w:rPr>
          <w:rFonts w:ascii="Calibri" w:hAnsi="Calibri"/>
          <w:color w:val="525866"/>
          <w:sz w:val="22"/>
        </w:rPr>
        <w:t>(1) CINF and KIE moved in near-lockstep through mid-May, confirming sector-driven performance. (2) CINF underperformed KIE from late May through early June (stock fell from ~$168 to ~$157) before recovering sharply in mid-June. (3) A notable surge in late June/early July (CINF reached ~$192 on July 2) was followed by a sharp pullback to ~$172 by July 15 — coinciding with the start of peer Q2 2026 earnings season and likely reflecting cat loss uncertainty. (4) CINF recovered to ~$183 by July 24 as peers reported manageable cat losses. The stock is trading at approximately 1.6x tangible book value (per May 2026 investor presentation), a modest premium to peers, consistent with CINF's quality franchise and consistent beat history.</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Q2 2026 peer earnings paint a broadly constructive picture for CINF: catastrophe losses were manageable-to-moderate across most reporters (favorable for CINF's combined ratio), commercial pricing remains positive ex-property (supportive of CINF's casualty and E&amp;S lines), and investment income continues to grow strongly. The key risk read-through is HIG's reserve charge in GL/commercial auto, which raises the question of whether CINF's casualty reserves are similarly exposed.</w:t>
      </w:r>
    </w:p>
    <w:p>
      <w:r>
        <w:rPr>
          <w:rFonts w:ascii="Calibri" w:hAnsi="Calibri"/>
          <w:i/>
          <w:color w:val="525866"/>
          <w:sz w:val="22"/>
        </w:rPr>
        <w:t>Note: All peer commentary below is from Q2 2026 earnings calls/releases (reported July 2026), directly relevant to CINF's upcoming Q2 2026 print.</w:t>
      </w:r>
    </w:p>
    <w:p>
      <w:pPr>
        <w:pStyle w:val="Heading3"/>
      </w:pPr>
      <w:r>
        <w:rPr>
          <w:rFonts w:ascii="Calibri" w:hAnsi="Calibri"/>
          <w:b/>
          <w:color w:val="3B4259"/>
          <w:sz w:val="24"/>
        </w:rPr>
        <w:t>The Hartford (HIG) — Q2 2026 Earnings Call (July 24, 2026)</w:t>
      </w:r>
    </w:p>
    <w:p>
      <w:pPr>
        <w:pStyle w:val="ListBullet"/>
        <w:ind w:left="360" w:hanging="360"/>
      </w:pPr>
      <w:r>
        <w:rPr>
          <w:rFonts w:ascii="Calibri" w:hAnsi="Calibri"/>
          <w:b/>
          <w:color w:val="525866"/>
          <w:sz w:val="22"/>
        </w:rPr>
        <w:t xml:space="preserve">Pricing: </w:t>
      </w:r>
      <w:r>
        <w:rPr>
          <w:rFonts w:ascii="Calibri" w:hAnsi="Calibri"/>
          <w:color w:val="525866"/>
          <w:sz w:val="22"/>
        </w:rPr>
        <w:t xml:space="preserve">Business insurance renewal written pricing ex-workers comp was 5.8% in Q2 2026, consistent with Q1. General liability pricing was 9.9% (up 30 bps QoQ); excess and umbrella in low double digits (up 70 bps QoQ). Property pricing moderated, driven by large property, but small/middle market property remained in mid-single digits. </w:t>
      </w:r>
    </w:p>
    <w:p>
      <w:pPr>
        <w:pStyle w:val="ListBullet"/>
        <w:ind w:left="360" w:hanging="360"/>
      </w:pPr>
      <w:r>
        <w:rPr>
          <w:rFonts w:ascii="Calibri" w:hAnsi="Calibri"/>
          <w:b/>
          <w:color w:val="525866"/>
          <w:sz w:val="22"/>
        </w:rPr>
        <w:t xml:space="preserve">Read-through for CINF: </w:t>
      </w:r>
      <w:r>
        <w:rPr>
          <w:rFonts w:ascii="Calibri" w:hAnsi="Calibri"/>
          <w:color w:val="525866"/>
          <w:sz w:val="22"/>
        </w:rPr>
        <w:t>Supportive — CINF's commercial casualty pricing at mid-single digits is consistent with HIG's GL/umbrella trends. Property softening is concentrated in large/shared-and-layered accounts where CINF has limited exposure.</w:t>
      </w:r>
    </w:p>
    <w:p>
      <w:pPr>
        <w:pStyle w:val="ListBullet"/>
        <w:ind w:left="360" w:hanging="360"/>
      </w:pPr>
      <w:r>
        <w:rPr>
          <w:rFonts w:ascii="Calibri" w:hAnsi="Calibri"/>
          <w:b/>
          <w:color w:val="525866"/>
          <w:sz w:val="22"/>
        </w:rPr>
        <w:t xml:space="preserve">Reserve charge — KEY RISK: </w:t>
      </w:r>
      <w:r>
        <w:rPr>
          <w:rFonts w:ascii="Calibri" w:hAnsi="Calibri"/>
          <w:color w:val="525866"/>
          <w:sz w:val="22"/>
        </w:rPr>
        <w:t xml:space="preserve">HIG increased GL reserves by $46M in Q2 2026, primarily reflecting higher frequency of large losses in excess casualty and umbrella lines across accident years 2017–2023. Commercial auto reserves also increased due to higher severity in accident years 2023–2024. Management attributed this to "increasing attorney representation and time limit demands." </w:t>
      </w:r>
    </w:p>
    <w:p>
      <w:pPr>
        <w:pStyle w:val="ListBullet"/>
        <w:ind w:left="360" w:hanging="360"/>
      </w:pPr>
      <w:r>
        <w:rPr>
          <w:rFonts w:ascii="Calibri" w:hAnsi="Calibri"/>
          <w:b/>
          <w:color w:val="525866"/>
          <w:sz w:val="22"/>
        </w:rPr>
        <w:t xml:space="preserve">Read-through for CINF: </w:t>
      </w:r>
      <w:r>
        <w:rPr>
          <w:rFonts w:ascii="Calibri" w:hAnsi="Calibri"/>
          <w:color w:val="525866"/>
          <w:sz w:val="22"/>
        </w:rPr>
        <w:t>Cautionary — CINF management has repeatedly flagged that the industry is "not out of the woods" on social inflation/legal system abuse. HIG's charge raises the question of whether CINF's casualty reserves (which have shown 5 consecutive quarters of favorable development) could face similar pressure. CINF's conservative reserve posture (upper half of actuarial range) provides some cushion.</w:t>
      </w:r>
    </w:p>
    <w:p>
      <w:pPr>
        <w:pStyle w:val="ListBullet"/>
        <w:ind w:left="360" w:hanging="360"/>
      </w:pPr>
      <w:r>
        <w:rPr>
          <w:rFonts w:ascii="Calibri" w:hAnsi="Calibri"/>
          <w:b/>
          <w:color w:val="525866"/>
          <w:sz w:val="22"/>
        </w:rPr>
        <w:t xml:space="preserve">Catastrophe losses: </w:t>
      </w:r>
      <w:r>
        <w:rPr>
          <w:rFonts w:ascii="Calibri" w:hAnsi="Calibri"/>
          <w:color w:val="525866"/>
          <w:sz w:val="22"/>
        </w:rPr>
        <w:t xml:space="preserve">P&amp;C current accident year cat losses were $222M pre-tax in Q2 2026, up from $212M in Q2 2025; cat ratio unchanged at 4.9 combined ratio points. </w:t>
      </w:r>
    </w:p>
    <w:p>
      <w:pPr>
        <w:pStyle w:val="ListBullet"/>
        <w:ind w:left="360" w:hanging="360"/>
      </w:pPr>
      <w:r>
        <w:rPr>
          <w:rFonts w:ascii="Calibri" w:hAnsi="Calibri"/>
          <w:b/>
          <w:color w:val="525866"/>
          <w:sz w:val="22"/>
        </w:rPr>
        <w:t xml:space="preserve">Read-through for CINF: </w:t>
      </w:r>
      <w:r>
        <w:rPr>
          <w:rFonts w:ascii="Calibri" w:hAnsi="Calibri"/>
          <w:color w:val="525866"/>
          <w:sz w:val="22"/>
        </w:rPr>
        <w:t>Neutral — HIG's cat load was modest and consistent YoY, suggesting Q2 2026 was not an extreme cat quarter.</w:t>
      </w:r>
    </w:p>
    <w:p>
      <w:pPr>
        <w:pStyle w:val="ListBullet"/>
        <w:ind w:left="360" w:hanging="360"/>
      </w:pPr>
      <w:r>
        <w:rPr>
          <w:rFonts w:ascii="Calibri" w:hAnsi="Calibri"/>
          <w:b/>
          <w:color w:val="525866"/>
          <w:sz w:val="22"/>
        </w:rPr>
        <w:t xml:space="preserve">Investment income: </w:t>
      </w:r>
      <w:r>
        <w:rPr>
          <w:rFonts w:ascii="Calibri" w:hAnsi="Calibri"/>
          <w:color w:val="525866"/>
          <w:sz w:val="22"/>
        </w:rPr>
        <w:t xml:space="preserve">Net investment income was $800M in Q2 2026, up 22% YoY, driven by higher LP income and higher invested assets. Portfolio yield 4.7% ex-LPs.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Confirms the favorable investment income environment; CINF's fixed-maturity portfolio yield of 5.02% and new money yield of 5.37% should support continued NII growth.</w:t>
      </w:r>
    </w:p>
    <w:p>
      <w:pPr>
        <w:pStyle w:val="Heading3"/>
      </w:pPr>
      <w:r>
        <w:rPr>
          <w:rFonts w:ascii="Calibri" w:hAnsi="Calibri"/>
          <w:b/>
          <w:color w:val="3B4259"/>
          <w:sz w:val="24"/>
        </w:rPr>
        <w:t>Chubb (CB) — Q2 2026 Earnings Call (July 22, 2026)</w:t>
      </w:r>
    </w:p>
    <w:p>
      <w:pPr>
        <w:pStyle w:val="ListBullet"/>
        <w:ind w:left="360" w:hanging="360"/>
      </w:pPr>
      <w:r>
        <w:rPr>
          <w:rFonts w:ascii="Calibri" w:hAnsi="Calibri"/>
          <w:b/>
          <w:color w:val="525866"/>
          <w:sz w:val="22"/>
        </w:rPr>
        <w:t xml:space="preserve">Pricing — KEY READ-THROUGH: </w:t>
      </w:r>
      <w:r>
        <w:rPr>
          <w:rFonts w:ascii="Calibri" w:hAnsi="Calibri"/>
          <w:color w:val="525866"/>
          <w:sz w:val="22"/>
        </w:rPr>
        <w:t xml:space="preserve">CEO Evan Greenberg stated that "soft market conditions have begun to spread beyond property to more casualty lines, particularly in E&amp;S." U.S. casualty loss costs are rising at "6–7% for primary casualty and 9–12% for excess" per year. North America casualty pricing was up 7.1% (rates +6.4%, exposure +0.7%). Property pricing was down ~6% overall, down 12% in shared/layered large accounts, but up 2.3% in middle market/small commercial. </w:t>
      </w:r>
    </w:p>
    <w:p>
      <w:pPr>
        <w:pStyle w:val="ListBullet"/>
        <w:ind w:left="360" w:hanging="360"/>
      </w:pPr>
      <w:r>
        <w:rPr>
          <w:rFonts w:ascii="Calibri" w:hAnsi="Calibri"/>
          <w:b/>
          <w:color w:val="525866"/>
          <w:sz w:val="22"/>
        </w:rPr>
        <w:t xml:space="preserve">Read-through for CINF: </w:t>
      </w:r>
      <w:r>
        <w:rPr>
          <w:rFonts w:ascii="Calibri" w:hAnsi="Calibri"/>
          <w:color w:val="525866"/>
          <w:sz w:val="22"/>
        </w:rPr>
        <w:t>Mixed — Casualty pricing above loss cost trend is positive for CINF's casualty book. However, CB's warning that pricing in "numerous areas of casualty is failing to keep pace with loss costs" in E&amp;S is a watch item for CINF's E&amp;S segment. CB's observation that "there is zero evidence across the industry that loss costs have abated" is a key risk flag.</w:t>
      </w:r>
    </w:p>
    <w:p>
      <w:pPr>
        <w:pStyle w:val="ListBullet"/>
        <w:ind w:left="360" w:hanging="360"/>
      </w:pPr>
      <w:r>
        <w:rPr>
          <w:rFonts w:ascii="Calibri" w:hAnsi="Calibri"/>
          <w:b/>
          <w:color w:val="525866"/>
          <w:sz w:val="22"/>
        </w:rPr>
        <w:t xml:space="preserve">Catastrophe losses: </w:t>
      </w:r>
      <w:r>
        <w:rPr>
          <w:rFonts w:ascii="Calibri" w:hAnsi="Calibri"/>
          <w:color w:val="525866"/>
          <w:sz w:val="22"/>
        </w:rPr>
        <w:t xml:space="preserve">Pre-tax cat losses were $475M in Q2 2026, principally from U.S. weather events. </w:t>
      </w:r>
    </w:p>
    <w:p>
      <w:pPr>
        <w:pStyle w:val="ListBullet"/>
        <w:ind w:left="360" w:hanging="360"/>
      </w:pPr>
      <w:r>
        <w:rPr>
          <w:rFonts w:ascii="Calibri" w:hAnsi="Calibri"/>
          <w:b/>
          <w:color w:val="525866"/>
          <w:sz w:val="22"/>
        </w:rPr>
        <w:t xml:space="preserve">Read-through for CINF: </w:t>
      </w:r>
      <w:r>
        <w:rPr>
          <w:rFonts w:ascii="Calibri" w:hAnsi="Calibri"/>
          <w:color w:val="525866"/>
          <w:sz w:val="22"/>
        </w:rPr>
        <w:t>Moderate — CB's $475M cat load is larger than WRB's $62M but smaller than ALL's $1.72B, suggesting a moderate cat quarter. CINF's cat exposure is primarily Midwest/Southeast weather events.</w:t>
      </w:r>
    </w:p>
    <w:p>
      <w:pPr>
        <w:pStyle w:val="ListBullet"/>
        <w:ind w:left="360" w:hanging="360"/>
      </w:pPr>
      <w:r>
        <w:rPr>
          <w:rFonts w:ascii="Calibri" w:hAnsi="Calibri"/>
          <w:b/>
          <w:color w:val="525866"/>
          <w:sz w:val="22"/>
        </w:rPr>
        <w:t xml:space="preserve">Reserve development: </w:t>
      </w:r>
      <w:r>
        <w:rPr>
          <w:rFonts w:ascii="Calibri" w:hAnsi="Calibri"/>
          <w:color w:val="525866"/>
          <w:sz w:val="22"/>
        </w:rPr>
        <w:t xml:space="preserve">Active companies had favorable prior period development of $441M (89% short-tail, 11% long-tail). Corporate run-off had adverse development of $158M, over two-thirds from molestation-related claims.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for active book — CB's active book continues to develop favorably, consistent with CINF's track record. Run-off adverse development is not relevant to CINF.</w:t>
      </w:r>
    </w:p>
    <w:p>
      <w:pPr>
        <w:pStyle w:val="ListBullet"/>
        <w:ind w:left="360" w:hanging="360"/>
      </w:pPr>
      <w:r>
        <w:rPr>
          <w:rFonts w:ascii="Calibri" w:hAnsi="Calibri"/>
          <w:b/>
          <w:color w:val="525866"/>
          <w:sz w:val="22"/>
        </w:rPr>
        <w:t xml:space="preserve">Investment income: </w:t>
      </w:r>
      <w:r>
        <w:rPr>
          <w:rFonts w:ascii="Calibri" w:hAnsi="Calibri"/>
          <w:color w:val="525866"/>
          <w:sz w:val="22"/>
        </w:rPr>
        <w:t xml:space="preserve">Record adjusted NII of $1.88B in Q2 2026, up 11%+. Fixed income portfolio yield 5.1%; new money rate 5.5%.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Confirms the favorable reinvestment rate environment. CINF's new money yield of 5.37% is consistent with CB's 5.5%.</w:t>
      </w:r>
    </w:p>
    <w:p>
      <w:pPr>
        <w:pStyle w:val="Heading3"/>
      </w:pPr>
      <w:r>
        <w:rPr>
          <w:rFonts w:ascii="Calibri" w:hAnsi="Calibri"/>
          <w:b/>
          <w:color w:val="3B4259"/>
          <w:sz w:val="24"/>
        </w:rPr>
        <w:t>Travelers (TRV) — Q2 2026 Earnings Call (July 17, 2026)</w:t>
      </w:r>
    </w:p>
    <w:p>
      <w:pPr>
        <w:pStyle w:val="ListBullet"/>
        <w:ind w:left="360" w:hanging="360"/>
      </w:pPr>
      <w:r>
        <w:rPr>
          <w:rFonts w:ascii="Calibri" w:hAnsi="Calibri"/>
          <w:b/>
          <w:color w:val="525866"/>
          <w:sz w:val="22"/>
        </w:rPr>
        <w:t xml:space="preserve">Pricing: </w:t>
      </w:r>
      <w:r>
        <w:rPr>
          <w:rFonts w:ascii="Calibri" w:hAnsi="Calibri"/>
          <w:color w:val="525866"/>
          <w:sz w:val="22"/>
        </w:rPr>
        <w:t xml:space="preserve">Business insurance renewal premium change was 4.8% in Q2 2026; ex-property it was 7.8% (flat sequentially). Core middle market RPC was 6.1%; small commercial select was 9.4% (sequentially higher). CEO Alan Schnitzer noted that "other than property, really national property, the pricing environment was very stable." Personal auto RPC was flat (reflecting strong profitability); homeowners RPC was 6.6%, moderating as intended.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TRV's stable ex-property pricing is consistent with CINF's commercial casualty mid-single-digit pricing. The moderation in personal auto pricing (reflecting profitability) is a positive signal for CINF's personal lines combined ratio.</w:t>
      </w:r>
    </w:p>
    <w:p>
      <w:pPr>
        <w:pStyle w:val="ListBullet"/>
        <w:ind w:left="360" w:hanging="360"/>
      </w:pPr>
      <w:r>
        <w:rPr>
          <w:rFonts w:ascii="Calibri" w:hAnsi="Calibri"/>
          <w:b/>
          <w:color w:val="525866"/>
          <w:sz w:val="22"/>
        </w:rPr>
        <w:t xml:space="preserve">Combined ratio: </w:t>
      </w:r>
      <w:r>
        <w:rPr>
          <w:rFonts w:ascii="Calibri" w:hAnsi="Calibri"/>
          <w:color w:val="525866"/>
          <w:sz w:val="22"/>
        </w:rPr>
        <w:t xml:space="preserve">Excellent overall combined ratio of 83.6%; underlying combined ratio of 84.1%. Business insurance underlying combined ratio of 88.2% (second quarter record). Personal insurance combined ratio of 79.5% (outstanding).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TRV's strong underlying results suggest the industry's underwriting fundamentals remain healthy ex-cat. CINF's consensus combined ratio of 97.3% implies a much higher cat load assumption than TRV's actual result.</w:t>
      </w:r>
    </w:p>
    <w:p>
      <w:pPr>
        <w:pStyle w:val="ListBullet"/>
        <w:ind w:left="360" w:hanging="360"/>
      </w:pPr>
      <w:r>
        <w:rPr>
          <w:rFonts w:ascii="Calibri" w:hAnsi="Calibri"/>
          <w:b/>
          <w:color w:val="525866"/>
          <w:sz w:val="22"/>
        </w:rPr>
        <w:t xml:space="preserve">Reserve development: </w:t>
      </w:r>
      <w:r>
        <w:rPr>
          <w:rFonts w:ascii="Calibri" w:hAnsi="Calibri"/>
          <w:color w:val="525866"/>
          <w:sz w:val="22"/>
        </w:rPr>
        <w:t xml:space="preserve">Net favorable prior year development of $578M pre-tax ($456M after-tax) across all three segments. Workers comp contributed $200M+; commercial property ~$80M. CFO Dan Frye noted they "paid particular attention to the casualty lines, including umbrella and commercial auto, and did not see any pressure there at all this quarter."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TRV's clean casualty reserve development (no pressure) is a favorable contrast to HIG's charge and is more consistent with CINF's conservative reserve posture.</w:t>
      </w:r>
    </w:p>
    <w:p>
      <w:pPr>
        <w:pStyle w:val="ListBullet"/>
        <w:ind w:left="360" w:hanging="360"/>
      </w:pPr>
      <w:r>
        <w:rPr>
          <w:rFonts w:ascii="Calibri" w:hAnsi="Calibri"/>
          <w:b/>
          <w:color w:val="525866"/>
          <w:sz w:val="22"/>
        </w:rPr>
        <w:t xml:space="preserve">Catastrophe losses: </w:t>
      </w:r>
      <w:r>
        <w:rPr>
          <w:rFonts w:ascii="Calibri" w:hAnsi="Calibri"/>
          <w:color w:val="525866"/>
          <w:sz w:val="22"/>
        </w:rPr>
        <w:t xml:space="preserve">After-tax cat losses were ~$400M+ in Q2 2026. TRV increased its cat bond from $575M to $750M and decreased retention slightly. </w:t>
      </w:r>
    </w:p>
    <w:p>
      <w:pPr>
        <w:pStyle w:val="ListBullet"/>
        <w:ind w:left="360" w:hanging="360"/>
      </w:pPr>
      <w:r>
        <w:rPr>
          <w:rFonts w:ascii="Calibri" w:hAnsi="Calibri"/>
          <w:b/>
          <w:color w:val="525866"/>
          <w:sz w:val="22"/>
        </w:rPr>
        <w:t xml:space="preserve">Read-through for CINF: </w:t>
      </w:r>
      <w:r>
        <w:rPr>
          <w:rFonts w:ascii="Calibri" w:hAnsi="Calibri"/>
          <w:color w:val="525866"/>
          <w:sz w:val="22"/>
        </w:rPr>
        <w:t>Moderate — TRV's cat load was meaningful but manageable. TRV's proactive reinsurance management (increasing cat bond) is consistent with CINF's own reinsurance program.</w:t>
      </w:r>
    </w:p>
    <w:p>
      <w:pPr>
        <w:pStyle w:val="ListBullet"/>
        <w:ind w:left="360" w:hanging="360"/>
      </w:pPr>
      <w:r>
        <w:rPr>
          <w:rFonts w:ascii="Calibri" w:hAnsi="Calibri"/>
          <w:b/>
          <w:color w:val="525866"/>
          <w:sz w:val="22"/>
        </w:rPr>
        <w:t xml:space="preserve">Investment income: </w:t>
      </w:r>
      <w:r>
        <w:rPr>
          <w:rFonts w:ascii="Calibri" w:hAnsi="Calibri"/>
          <w:color w:val="525866"/>
          <w:sz w:val="22"/>
        </w:rPr>
        <w:t xml:space="preserve">After-tax NII increased 14% to $883M. Fixed income NII in line with expectations; new money yields ~90 bps above embedded portfolio yield. Guidance: ~$840M fixed income NII in Q3 2026, ~$870M in Q4 2026.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TRV's NII growth trajectory and new money yield advantage are consistent with CINF's investment income growth story.</w:t>
      </w:r>
    </w:p>
    <w:p>
      <w:pPr>
        <w:pStyle w:val="Heading3"/>
      </w:pPr>
      <w:r>
        <w:rPr>
          <w:rFonts w:ascii="Calibri" w:hAnsi="Calibri"/>
          <w:b/>
          <w:color w:val="3B4259"/>
          <w:sz w:val="24"/>
        </w:rPr>
        <w:t>W.R. Berkley (WRB) — Q2 2026 Earnings Call (July 20, 2026)</w:t>
      </w:r>
    </w:p>
    <w:p>
      <w:pPr>
        <w:pStyle w:val="ListBullet"/>
        <w:ind w:left="360" w:hanging="360"/>
      </w:pPr>
      <w:r>
        <w:rPr>
          <w:rFonts w:ascii="Calibri" w:hAnsi="Calibri"/>
          <w:b/>
          <w:color w:val="525866"/>
          <w:sz w:val="22"/>
        </w:rPr>
        <w:t xml:space="preserve">Pricing: </w:t>
      </w:r>
      <w:r>
        <w:rPr>
          <w:rFonts w:ascii="Calibri" w:hAnsi="Calibri"/>
          <w:color w:val="525866"/>
          <w:sz w:val="22"/>
        </w:rPr>
        <w:t xml:space="preserve">Rate increase ex-comp was 3.8% in Q2 2026. Management characterized the market as "ever more a fragmented market by product line." Expressed "great concern around much of the MGU model" and its lack of alignment of interests. Described commercial property (shared/layered) as showing "the greatest stupidity" with material rate declines. Broader casualty market "remains attractive" with WRB continuing to find ways to deploy capital at "very attractive returns." Renewal retention ratio ~80%. </w:t>
      </w:r>
    </w:p>
    <w:p>
      <w:pPr>
        <w:pStyle w:val="ListBullet"/>
        <w:ind w:left="360" w:hanging="360"/>
      </w:pPr>
      <w:r>
        <w:rPr>
          <w:rFonts w:ascii="Calibri" w:hAnsi="Calibri"/>
          <w:b/>
          <w:color w:val="525866"/>
          <w:sz w:val="22"/>
        </w:rPr>
        <w:t xml:space="preserve">Read-through for CINF: </w:t>
      </w:r>
      <w:r>
        <w:rPr>
          <w:rFonts w:ascii="Calibri" w:hAnsi="Calibri"/>
          <w:color w:val="525866"/>
          <w:sz w:val="22"/>
        </w:rPr>
        <w:t>Mixed — WRB's 3.8% rate increase is below CINF's commercial casualty mid-single-digit pricing, suggesting CINF may be achieving better rate in its book. WRB's concern about MGU model and shared/layered property is consistent with CINF's disciplined approach to larger accounts.</w:t>
      </w:r>
    </w:p>
    <w:p>
      <w:pPr>
        <w:pStyle w:val="ListBullet"/>
        <w:ind w:left="360" w:hanging="360"/>
      </w:pPr>
      <w:r>
        <w:rPr>
          <w:rFonts w:ascii="Calibri" w:hAnsi="Calibri"/>
          <w:b/>
          <w:color w:val="525866"/>
          <w:sz w:val="22"/>
        </w:rPr>
        <w:t xml:space="preserve">Catastrophe losses: </w:t>
      </w:r>
      <w:r>
        <w:rPr>
          <w:rFonts w:ascii="Calibri" w:hAnsi="Calibri"/>
          <w:color w:val="525866"/>
          <w:sz w:val="22"/>
        </w:rPr>
        <w:t xml:space="preserve">Cat losses decreased $37M to $62M in Q2 2026 (2.0 loss ratio points vs. 3.2 pts in Q2 2025). Management described it as a "relatively benign cat quarter given the time of year" but warned that "Mother Nature is lulling the property market into a false sense of comfort."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WRB's very low cat load ($62M) is the most favorable data point for CINF's Q2 cat expectations. However, WRB's warning about complacency is a reminder that CINF's Midwest/Southeast exposure could differ.</w:t>
      </w:r>
    </w:p>
    <w:p>
      <w:pPr>
        <w:pStyle w:val="ListBullet"/>
        <w:ind w:left="360" w:hanging="360"/>
      </w:pPr>
      <w:r>
        <w:rPr>
          <w:rFonts w:ascii="Calibri" w:hAnsi="Calibri"/>
          <w:b/>
          <w:color w:val="525866"/>
          <w:sz w:val="22"/>
        </w:rPr>
        <w:t xml:space="preserve">Reserve development / social inflation: </w:t>
      </w:r>
      <w:r>
        <w:rPr>
          <w:rFonts w:ascii="Calibri" w:hAnsi="Calibri"/>
          <w:color w:val="525866"/>
          <w:sz w:val="22"/>
        </w:rPr>
        <w:t xml:space="preserve">WRB noted they "may feel as though there is more room in the pick than we recognized." On social inflation: "policymakers have taken action in certain states" but WRB is "not fully enough that we are taking credit for it" in terms of quantifying the impact. </w:t>
      </w:r>
    </w:p>
    <w:p>
      <w:pPr>
        <w:pStyle w:val="ListBullet"/>
        <w:ind w:left="360" w:hanging="360"/>
      </w:pPr>
      <w:r>
        <w:rPr>
          <w:rFonts w:ascii="Calibri" w:hAnsi="Calibri"/>
          <w:b/>
          <w:color w:val="525866"/>
          <w:sz w:val="22"/>
        </w:rPr>
        <w:t xml:space="preserve">Read-through for CINF: </w:t>
      </w:r>
      <w:r>
        <w:rPr>
          <w:rFonts w:ascii="Calibri" w:hAnsi="Calibri"/>
          <w:color w:val="525866"/>
          <w:sz w:val="22"/>
        </w:rPr>
        <w:t>Cautionary — WRB's cautious stance on social inflation credit mirrors CINF management's own language ("not out of the woods"). Neither company is releasing reserves based on tort reform activity.</w:t>
      </w:r>
    </w:p>
    <w:p>
      <w:pPr>
        <w:pStyle w:val="ListBullet"/>
        <w:ind w:left="360" w:hanging="360"/>
      </w:pPr>
      <w:r>
        <w:rPr>
          <w:rFonts w:ascii="Calibri" w:hAnsi="Calibri"/>
          <w:b/>
          <w:color w:val="525866"/>
          <w:sz w:val="22"/>
        </w:rPr>
        <w:t xml:space="preserve">Investment income: </w:t>
      </w:r>
      <w:r>
        <w:rPr>
          <w:rFonts w:ascii="Calibri" w:hAnsi="Calibri"/>
          <w:color w:val="525866"/>
          <w:sz w:val="22"/>
        </w:rPr>
        <w:t xml:space="preserve">Record quarterly pre-tax NII of $419M. Core portfolio income grew 13% YoY to $371M. New money rate "comfortably starts with a five" vs. domestic book yield of 4.8%.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Confirms the favorable reinvestment environment. WRB's new money rate above book yield is consistent with CINF's 5.37% new money yield vs. 5.02% portfolio yield.</w:t>
      </w:r>
    </w:p>
    <w:p>
      <w:pPr>
        <w:pStyle w:val="Heading3"/>
      </w:pPr>
      <w:r>
        <w:rPr>
          <w:rFonts w:ascii="Calibri" w:hAnsi="Calibri"/>
          <w:b/>
          <w:color w:val="3B4259"/>
          <w:sz w:val="24"/>
        </w:rPr>
        <w:t>Kinsale Capital (KNSL) — Q2 2026 Earnings Call (July 24, 2026)</w:t>
      </w:r>
    </w:p>
    <w:p>
      <w:pPr>
        <w:pStyle w:val="ListBullet"/>
        <w:ind w:left="360" w:hanging="360"/>
      </w:pPr>
      <w:r>
        <w:rPr>
          <w:rFonts w:ascii="Calibri" w:hAnsi="Calibri"/>
          <w:b/>
          <w:color w:val="525866"/>
          <w:sz w:val="22"/>
        </w:rPr>
        <w:t xml:space="preserve">E&amp;S pricing — KEY READ-THROUGH: </w:t>
      </w:r>
      <w:r>
        <w:rPr>
          <w:rFonts w:ascii="Calibri" w:hAnsi="Calibri"/>
          <w:color w:val="525866"/>
          <w:sz w:val="22"/>
        </w:rPr>
        <w:t xml:space="preserve">Combined pricing trend across all lines showed a decrease of 5.9% in Q2 2026 (vs. -3.3% in Q1 2026). Commercial property division (large shared/layered accounts) is experiencing "material rate declines combined with expanding coverage" — described as "definitely a buyer's market." Excluding commercial property, gross written premium grew 3.7% in Q2 and 4.8% in H1 2026. New business submissions ex-commercial property were up 8% in Q2. </w:t>
      </w:r>
    </w:p>
    <w:p>
      <w:pPr>
        <w:pStyle w:val="ListBullet"/>
        <w:ind w:left="360" w:hanging="360"/>
      </w:pPr>
      <w:r>
        <w:rPr>
          <w:rFonts w:ascii="Calibri" w:hAnsi="Calibri"/>
          <w:b/>
          <w:color w:val="525866"/>
          <w:sz w:val="22"/>
        </w:rPr>
        <w:t xml:space="preserve">Read-through for CINF: </w:t>
      </w:r>
      <w:r>
        <w:rPr>
          <w:rFonts w:ascii="Calibri" w:hAnsi="Calibri"/>
          <w:color w:val="525866"/>
          <w:sz w:val="22"/>
        </w:rPr>
        <w:t>Mixed — KNSL's E&amp;S pricing deterioration in commercial property is a headwind for CINF's E&amp;S segment (which grew 8% NWP in Q1 2026). However, KNSL's growth ex-commercial property (casualty, excess casualty, commercial auto, entertainment) is positive for CINF's E&amp;S casualty lines. CINF's E&amp;S is primarily homeowners (77% written on E&amp;S basis in California), which is a different market than KNSL's commercial property.</w:t>
      </w:r>
    </w:p>
    <w:p>
      <w:pPr>
        <w:pStyle w:val="ListBullet"/>
        <w:ind w:left="360" w:hanging="360"/>
      </w:pPr>
      <w:r>
        <w:rPr>
          <w:rFonts w:ascii="Calibri" w:hAnsi="Calibri"/>
          <w:b/>
          <w:color w:val="525866"/>
          <w:sz w:val="22"/>
        </w:rPr>
        <w:t xml:space="preserve">Combined ratio: </w:t>
      </w:r>
      <w:r>
        <w:rPr>
          <w:rFonts w:ascii="Calibri" w:hAnsi="Calibri"/>
          <w:color w:val="525866"/>
          <w:sz w:val="22"/>
        </w:rPr>
        <w:t xml:space="preserve">KNSL's combined ratio was 75.5% in Q2 2026, including 4.5 pts of favorable prior year development and 1.3 pts of cat losses. Diluted operating EPS grew 15.9% YoY; annualized operating ROE of 24.4%.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KNSL's excellent underwriting results and continued favorable reserve development in E&amp;S lines are a positive signal for the E&amp;S market broadly.</w:t>
      </w:r>
    </w:p>
    <w:p>
      <w:pPr>
        <w:pStyle w:val="ListBullet"/>
        <w:ind w:left="360" w:hanging="360"/>
      </w:pPr>
      <w:r>
        <w:rPr>
          <w:rFonts w:ascii="Calibri" w:hAnsi="Calibri"/>
          <w:b/>
          <w:color w:val="525866"/>
          <w:sz w:val="22"/>
        </w:rPr>
        <w:t xml:space="preserve">Social inflation / casualty loss trends: </w:t>
      </w:r>
      <w:r>
        <w:rPr>
          <w:rFonts w:ascii="Calibri" w:hAnsi="Calibri"/>
          <w:color w:val="525866"/>
          <w:sz w:val="22"/>
        </w:rPr>
        <w:t xml:space="preserve">KNSL estimates casualty loss cost trends at "mid-single digits." Management believes they have been less exposed to social inflation than other carriers due to writing smaller accounts and lower limits. Being "a little more conservative" in slowing IBNR release in longer-tail occurrence business.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KNSL's mid-single-digit casualty loss cost trend is consistent with CINF's casualty pricing at mid-single digits, suggesting adequate rate coverage. KNSL's conservative IBNR approach mirrors CINF's upper-half-of-range reserve posture.</w:t>
      </w:r>
    </w:p>
    <w:p>
      <w:pPr>
        <w:pStyle w:val="ListBullet"/>
        <w:ind w:left="360" w:hanging="360"/>
      </w:pPr>
      <w:r>
        <w:rPr>
          <w:rFonts w:ascii="Calibri" w:hAnsi="Calibri"/>
          <w:b/>
          <w:color w:val="525866"/>
          <w:sz w:val="22"/>
        </w:rPr>
        <w:t xml:space="preserve">Investment income: </w:t>
      </w:r>
      <w:r>
        <w:rPr>
          <w:rFonts w:ascii="Calibri" w:hAnsi="Calibri"/>
          <w:color w:val="525866"/>
          <w:sz w:val="22"/>
        </w:rPr>
        <w:t xml:space="preserve">Net investment income grew 19.9% YoY in Q2 2026. Float grew to $3.4B. New money yields averaging ~5.25% with 4.25-year average duration.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Consistent with the favorable investment income environment across the sector.</w:t>
      </w:r>
    </w:p>
    <w:p>
      <w:pPr>
        <w:pStyle w:val="Heading3"/>
      </w:pPr>
      <w:r>
        <w:rPr>
          <w:rFonts w:ascii="Calibri" w:hAnsi="Calibri"/>
          <w:b/>
          <w:color w:val="3B4259"/>
          <w:sz w:val="24"/>
        </w:rPr>
        <w:t>Allstate (ALL) — Q2 2026 Earnings Release (July 16, 2026)</w:t>
      </w:r>
    </w:p>
    <w:p>
      <w:pPr>
        <w:pStyle w:val="ListBullet"/>
        <w:ind w:left="360" w:hanging="360"/>
      </w:pPr>
      <w:r>
        <w:rPr>
          <w:rFonts w:ascii="Calibri" w:hAnsi="Calibri"/>
          <w:b/>
          <w:color w:val="525866"/>
          <w:sz w:val="22"/>
        </w:rPr>
        <w:t xml:space="preserve">Catastrophe losses — KEY RISK READ-THROUGH: </w:t>
      </w:r>
      <w:r>
        <w:rPr>
          <w:rFonts w:ascii="Calibri" w:hAnsi="Calibri"/>
          <w:color w:val="525866"/>
          <w:sz w:val="22"/>
        </w:rPr>
        <w:t xml:space="preserve">ALL reported total Q2 2026 catastrophe losses of $1.72B ($1.36B after-tax), including $563M ($445M after-tax) in June alone. This is a significantly elevated cat quarter for ALL. </w:t>
      </w:r>
    </w:p>
    <w:p>
      <w:pPr>
        <w:pStyle w:val="ListBullet"/>
        <w:ind w:left="360" w:hanging="360"/>
      </w:pPr>
      <w:r>
        <w:rPr>
          <w:rFonts w:ascii="Calibri" w:hAnsi="Calibri"/>
          <w:b/>
          <w:color w:val="525866"/>
          <w:sz w:val="22"/>
        </w:rPr>
        <w:t xml:space="preserve">Read-through for CINF: </w:t>
      </w:r>
      <w:r>
        <w:rPr>
          <w:rFonts w:ascii="Calibri" w:hAnsi="Calibri"/>
          <w:color w:val="525866"/>
          <w:sz w:val="22"/>
        </w:rPr>
        <w:t>Cautionary — ALL's very large cat load is the most bearish data point for CINF's Q2 2026 combined ratio. However, ALL has a much larger personal lines book (particularly auto) and different geographic concentration than CINF. CINF's reinsurance program (retains 100% of first $200M per event; max exposure $523M for a $2B event) provides meaningful protection. The wide dispersion between ALL ($1.72B) and WRB ($62M) highlights the importance of geographic and line-of-business mix.</w:t>
      </w:r>
    </w:p>
    <w:p>
      <w:pPr>
        <w:pStyle w:val="Heading3"/>
      </w:pPr>
      <w:r>
        <w:rPr>
          <w:rFonts w:ascii="Calibri" w:hAnsi="Calibri"/>
          <w:b/>
          <w:color w:val="3B4259"/>
          <w:sz w:val="24"/>
        </w:rPr>
        <w:t>Progressive (PGR) — Q2 2026 Earnings Release (July 15, 2026)</w:t>
      </w:r>
    </w:p>
    <w:p>
      <w:pPr>
        <w:pStyle w:val="ListBullet"/>
        <w:ind w:left="360" w:hanging="360"/>
      </w:pPr>
      <w:r>
        <w:rPr>
          <w:rFonts w:ascii="Calibri" w:hAnsi="Calibri"/>
          <w:b/>
          <w:color w:val="525866"/>
          <w:sz w:val="22"/>
        </w:rPr>
        <w:t xml:space="preserve">Combined ratio: </w:t>
      </w:r>
      <w:r>
        <w:rPr>
          <w:rFonts w:ascii="Calibri" w:hAnsi="Calibri"/>
          <w:color w:val="525866"/>
          <w:sz w:val="22"/>
        </w:rPr>
        <w:t xml:space="preserve">Companywide combined ratio was 87.3 for Q2 2026 (vs. 86.2 in Q2 2025). June 2026 combined ratio was 90.0, including a favorable 11.7-point one-time actuarial methodology change for property IBNR reserves (described as a "one-time adjustment" with no impact on future periods). </w:t>
      </w:r>
    </w:p>
    <w:p>
      <w:pPr>
        <w:pStyle w:val="ListBullet"/>
        <w:ind w:left="360" w:hanging="360"/>
      </w:pPr>
      <w:r>
        <w:rPr>
          <w:rFonts w:ascii="Calibri" w:hAnsi="Calibri"/>
          <w:b/>
          <w:color w:val="525866"/>
          <w:sz w:val="22"/>
        </w:rPr>
        <w:t xml:space="preserve">Read-through for CINF: </w:t>
      </w:r>
      <w:r>
        <w:rPr>
          <w:rFonts w:ascii="Calibri" w:hAnsi="Calibri"/>
          <w:color w:val="525866"/>
          <w:sz w:val="22"/>
        </w:rPr>
        <w:t>Neutral — PGR's combined ratio is primarily driven by personal auto, which is a different business mix than CINF. The one-time IBNR methodology change is PGR-specific and not a read-through.</w:t>
      </w:r>
    </w:p>
    <w:p>
      <w:pPr>
        <w:pStyle w:val="ListBullet"/>
        <w:ind w:left="360" w:hanging="360"/>
      </w:pPr>
      <w:r>
        <w:rPr>
          <w:rFonts w:ascii="Calibri" w:hAnsi="Calibri"/>
          <w:b/>
          <w:color w:val="525866"/>
          <w:sz w:val="22"/>
        </w:rPr>
        <w:t xml:space="preserve">Net written premium growth: </w:t>
      </w:r>
      <w:r>
        <w:rPr>
          <w:rFonts w:ascii="Calibri" w:hAnsi="Calibri"/>
          <w:color w:val="525866"/>
          <w:sz w:val="22"/>
        </w:rPr>
        <w:t xml:space="preserve">NWP grew 5% YoY to $21.1B in Q2 2026. Personal lines policies in force grew 8% YoY; commercial lines grew 3%.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PGR's continued strong personal lines growth confirms healthy consumer demand for P&amp;C insurance, supportive of CINF's personal lines NWP growth.</w:t>
      </w:r>
    </w:p>
    <w:p>
      <w:pPr>
        <w:pStyle w:val="ListBullet"/>
        <w:ind w:left="360" w:hanging="360"/>
      </w:pPr>
      <w:r>
        <w:rPr>
          <w:rFonts w:ascii="Calibri" w:hAnsi="Calibri"/>
          <w:b/>
          <w:color w:val="525866"/>
          <w:sz w:val="22"/>
        </w:rPr>
        <w:t xml:space="preserve">Catastrophe losses: </w:t>
      </w:r>
      <w:r>
        <w:rPr>
          <w:rFonts w:ascii="Calibri" w:hAnsi="Calibri"/>
          <w:color w:val="525866"/>
          <w:sz w:val="22"/>
        </w:rPr>
        <w:t xml:space="preserve">Companywide net cat loss ratio was 2.4% for Q2 2026 (year-to-date). </w:t>
      </w:r>
    </w:p>
    <w:p>
      <w:pPr>
        <w:pStyle w:val="ListBullet"/>
        <w:ind w:left="360" w:hanging="360"/>
      </w:pPr>
      <w:r>
        <w:rPr>
          <w:rFonts w:ascii="Calibri" w:hAnsi="Calibri"/>
          <w:b/>
          <w:color w:val="525866"/>
          <w:sz w:val="22"/>
        </w:rPr>
        <w:t xml:space="preserve">Read-through for CINF: </w:t>
      </w:r>
      <w:r>
        <w:rPr>
          <w:rFonts w:ascii="Calibri" w:hAnsi="Calibri"/>
          <w:color w:val="525866"/>
          <w:sz w:val="22"/>
        </w:rPr>
        <w:t>Positive — PGR's modest cat ratio for the quarter is consistent with a moderate (not extreme) cat environment in Q2 2026.</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Peer Signal</w:t>
            </w:r>
          </w:p>
        </w:tc>
        <w:tc>
          <w:tcPr>
            <w:tcW w:type="dxa" w:w="2880"/>
            <w:shd w:val="clear" w:color="auto" w:fill="3B4259"/>
          </w:tcPr>
          <w:p>
            <w:r>
              <w:rPr>
                <w:rFonts w:ascii="Calibri" w:hAnsi="Calibri"/>
                <w:b/>
                <w:color w:val="FFFFFF"/>
                <w:sz w:val="22"/>
              </w:rPr>
              <w:t>Direction for CINF</w:t>
            </w:r>
          </w:p>
        </w:tc>
      </w:tr>
      <w:tr>
        <w:tc>
          <w:tcPr>
            <w:tcW w:type="dxa" w:w="2880"/>
          </w:tcPr>
          <w:p>
            <w:r>
              <w:rPr>
                <w:rFonts w:ascii="Calibri" w:hAnsi="Calibri"/>
                <w:sz w:val="22"/>
              </w:rPr>
              <w:t>Q2 2026 Cat Losses</w:t>
            </w:r>
          </w:p>
        </w:tc>
        <w:tc>
          <w:tcPr>
            <w:tcW w:type="dxa" w:w="2880"/>
          </w:tcPr>
          <w:p>
            <w:r>
              <w:rPr>
                <w:rFonts w:ascii="Calibri" w:hAnsi="Calibri"/>
                <w:sz w:val="22"/>
              </w:rPr>
              <w:t>WRB: $62M (benign); TRV: ~$400M+; CB: $475M; HIG: $222M; ALL: $1.72B (elevated)</w:t>
            </w:r>
          </w:p>
        </w:tc>
        <w:tc>
          <w:tcPr>
            <w:tcW w:type="dxa" w:w="2880"/>
          </w:tcPr>
          <w:p>
            <w:r>
              <w:rPr>
                <w:rFonts w:ascii="Calibri" w:hAnsi="Calibri"/>
                <w:b/>
                <w:color w:val="002FA7"/>
                <w:sz w:val="22"/>
              </w:rPr>
              <w:t>Mixed — wide dispersion; CINF's reinsurance provides protection</w:t>
            </w:r>
          </w:p>
        </w:tc>
      </w:tr>
      <w:tr>
        <w:tc>
          <w:tcPr>
            <w:tcW w:type="dxa" w:w="2880"/>
          </w:tcPr>
          <w:p>
            <w:r>
              <w:rPr>
                <w:rFonts w:ascii="Calibri" w:hAnsi="Calibri"/>
                <w:sz w:val="22"/>
              </w:rPr>
              <w:t>Commercial Casualty Pricing</w:t>
            </w:r>
          </w:p>
        </w:tc>
        <w:tc>
          <w:tcPr>
            <w:tcW w:type="dxa" w:w="2880"/>
          </w:tcPr>
          <w:p>
            <w:r>
              <w:rPr>
                <w:rFonts w:ascii="Calibri" w:hAnsi="Calibri"/>
                <w:sz w:val="22"/>
              </w:rPr>
              <w:t>HIG GL: 9.9%; TRV ex-property: 7.8%; CB casualty: 7.1%; WRB ex-comp: 3.8%</w:t>
            </w:r>
          </w:p>
        </w:tc>
        <w:tc>
          <w:tcPr>
            <w:tcW w:type="dxa" w:w="2880"/>
          </w:tcPr>
          <w:p>
            <w:r>
              <w:rPr>
                <w:rFonts w:ascii="Calibri" w:hAnsi="Calibri"/>
                <w:b/>
                <w:color w:val="30A46C"/>
                <w:sz w:val="22"/>
              </w:rPr>
              <w:t>Positive — CINF's mid-single-digit casualty pricing is adequate vs. loss cost trends</w:t>
            </w:r>
          </w:p>
        </w:tc>
      </w:tr>
      <w:tr>
        <w:tc>
          <w:tcPr>
            <w:tcW w:type="dxa" w:w="2880"/>
          </w:tcPr>
          <w:p>
            <w:r>
              <w:rPr>
                <w:rFonts w:ascii="Calibri" w:hAnsi="Calibri"/>
                <w:sz w:val="22"/>
              </w:rPr>
              <w:t>Commercial Property Pricing</w:t>
            </w:r>
          </w:p>
        </w:tc>
        <w:tc>
          <w:tcPr>
            <w:tcW w:type="dxa" w:w="2880"/>
          </w:tcPr>
          <w:p>
            <w:r>
              <w:rPr>
                <w:rFonts w:ascii="Calibri" w:hAnsi="Calibri"/>
                <w:sz w:val="22"/>
              </w:rPr>
              <w:t>CB large/E&amp;S: -12%; HIG large property: moderating; TRV national property: disciplined shrinkage; KNSL commercial property: "buyer's market"</w:t>
            </w:r>
          </w:p>
        </w:tc>
        <w:tc>
          <w:tcPr>
            <w:tcW w:type="dxa" w:w="2880"/>
          </w:tcPr>
          <w:p>
            <w:r>
              <w:rPr>
                <w:rFonts w:ascii="Calibri" w:hAnsi="Calibri"/>
                <w:b/>
                <w:color w:val="002FA7"/>
                <w:sz w:val="22"/>
              </w:rPr>
              <w:t>Cautionary — CINF has limited large property exposure; concentrated in middle market</w:t>
            </w:r>
          </w:p>
        </w:tc>
      </w:tr>
      <w:tr>
        <w:tc>
          <w:tcPr>
            <w:tcW w:type="dxa" w:w="2880"/>
          </w:tcPr>
          <w:p>
            <w:r>
              <w:rPr>
                <w:rFonts w:ascii="Calibri" w:hAnsi="Calibri"/>
                <w:sz w:val="22"/>
              </w:rPr>
              <w:t>Casualty Reserve Development</w:t>
            </w:r>
          </w:p>
        </w:tc>
        <w:tc>
          <w:tcPr>
            <w:tcW w:type="dxa" w:w="2880"/>
          </w:tcPr>
          <w:p>
            <w:r>
              <w:rPr>
                <w:rFonts w:ascii="Calibri" w:hAnsi="Calibri"/>
                <w:sz w:val="22"/>
              </w:rPr>
              <w:t>HIG: $46M GL charge + commercial auto adverse; TRV: no pressure in casualty; WRB: cautious on social inflation credit; KNSL: conservative IBNR</w:t>
            </w:r>
          </w:p>
        </w:tc>
        <w:tc>
          <w:tcPr>
            <w:tcW w:type="dxa" w:w="2880"/>
          </w:tcPr>
          <w:p>
            <w:r>
              <w:rPr>
                <w:rFonts w:ascii="Calibri" w:hAnsi="Calibri"/>
                <w:b/>
                <w:color w:val="002FA7"/>
                <w:sz w:val="22"/>
              </w:rPr>
              <w:t>Mixed — HIG charge is a risk flag; TRV clean result is reassuring</w:t>
            </w:r>
          </w:p>
        </w:tc>
      </w:tr>
      <w:tr>
        <w:tc>
          <w:tcPr>
            <w:tcW w:type="dxa" w:w="2880"/>
          </w:tcPr>
          <w:p>
            <w:r>
              <w:rPr>
                <w:rFonts w:ascii="Calibri" w:hAnsi="Calibri"/>
                <w:sz w:val="22"/>
              </w:rPr>
              <w:t>Investment Income</w:t>
            </w:r>
          </w:p>
        </w:tc>
        <w:tc>
          <w:tcPr>
            <w:tcW w:type="dxa" w:w="2880"/>
          </w:tcPr>
          <w:p>
            <w:r>
              <w:rPr>
                <w:rFonts w:ascii="Calibri" w:hAnsi="Calibri"/>
                <w:sz w:val="22"/>
              </w:rPr>
              <w:t>CB: +11% YoY; TRV: +14% YoY; HIG: +22% YoY; WRB: +13% YoY; KNSL: +19.9% YoY</w:t>
            </w:r>
          </w:p>
        </w:tc>
        <w:tc>
          <w:tcPr>
            <w:tcW w:type="dxa" w:w="2880"/>
          </w:tcPr>
          <w:p>
            <w:r>
              <w:rPr>
                <w:rFonts w:ascii="Calibri" w:hAnsi="Calibri"/>
                <w:b/>
                <w:color w:val="30A46C"/>
                <w:sz w:val="22"/>
              </w:rPr>
              <w:t>Positive — Confirms favorable NII environment; CINF consensus +10.5% YoY is achievable</w:t>
            </w:r>
          </w:p>
        </w:tc>
      </w:tr>
      <w:tr>
        <w:tc>
          <w:tcPr>
            <w:tcW w:type="dxa" w:w="2880"/>
          </w:tcPr>
          <w:p>
            <w:r>
              <w:rPr>
                <w:rFonts w:ascii="Calibri" w:hAnsi="Calibri"/>
                <w:sz w:val="22"/>
              </w:rPr>
              <w:t>Social Inflation / Legal System Abuse</w:t>
            </w:r>
          </w:p>
        </w:tc>
        <w:tc>
          <w:tcPr>
            <w:tcW w:type="dxa" w:w="2880"/>
          </w:tcPr>
          <w:p>
            <w:r>
              <w:rPr>
                <w:rFonts w:ascii="Calibri" w:hAnsi="Calibri"/>
                <w:sz w:val="22"/>
              </w:rPr>
              <w:t>CB: "zero evidence loss costs have abated"; WRB: not taking credit for tort reform; KNSL: mid-single-digit casualty trend; HIG: increasing attorney representation</w:t>
            </w:r>
          </w:p>
        </w:tc>
        <w:tc>
          <w:tcPr>
            <w:tcW w:type="dxa" w:w="2880"/>
          </w:tcPr>
          <w:p>
            <w:r>
              <w:rPr>
                <w:rFonts w:ascii="Calibri" w:hAnsi="Calibri"/>
                <w:b/>
                <w:color w:val="E5484D"/>
                <w:sz w:val="22"/>
              </w:rPr>
              <w:t>Cautionary — Industry-wide caution; consistent with CINF's "not out of the woods" stance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material development since Q1 2026 earnings is the May 2026 investor presentation reaffirming the 10%–13% VCR target and above-industry-average premium growth strategy; no adverse guidance events have occurred. Leadership transitions (CIO retirement) and a new independent director appointment are notable but not earnings-moving.</w:t>
      </w:r>
    </w:p>
    <w:p>
      <w:pPr>
        <w:pStyle w:val="ListBullet"/>
        <w:ind w:left="360" w:hanging="360"/>
      </w:pPr>
      <w:r>
        <w:rPr>
          <w:rFonts w:ascii="Calibri" w:hAnsi="Calibri"/>
          <w:b/>
          <w:color w:val="525866"/>
          <w:sz w:val="22"/>
        </w:rPr>
        <w:t xml:space="preserve">July 8, 2026 — Q2 2026 Earnings Webcast Scheduled: </w:t>
      </w:r>
      <w:r>
        <w:rPr>
          <w:rFonts w:ascii="Calibri" w:hAnsi="Calibri"/>
          <w:color w:val="525866"/>
          <w:sz w:val="22"/>
        </w:rPr>
        <w:t>CINF announced it will host a webcast to discuss Q2 2026 results on July 28, 2026. Implication: Confirms the earnings date; no pre-announcement or guidance update was included in the announcement, suggesting no material adverse developments to flag ahead of the print.</w:t>
      </w:r>
    </w:p>
    <w:p>
      <w:pPr>
        <w:pStyle w:val="ListBullet"/>
        <w:ind w:left="360" w:hanging="360"/>
      </w:pPr>
      <w:r>
        <w:rPr>
          <w:rFonts w:ascii="Calibri" w:hAnsi="Calibri"/>
          <w:b/>
          <w:color w:val="525866"/>
          <w:sz w:val="22"/>
        </w:rPr>
        <w:t xml:space="preserve">June 22, 2026 — New Independent Director Appointed, Board Expanded: </w:t>
      </w:r>
      <w:r>
        <w:rPr>
          <w:rFonts w:ascii="Calibri" w:hAnsi="Calibri"/>
          <w:color w:val="525866"/>
          <w:sz w:val="22"/>
        </w:rPr>
        <w:t>CINF appointed a new independent director and expanded its board. Implication: Routine governance action; no earnings impact. Signals continued board refreshment.</w:t>
      </w:r>
    </w:p>
    <w:p>
      <w:pPr>
        <w:pStyle w:val="ListBullet"/>
        <w:ind w:left="360" w:hanging="360"/>
      </w:pPr>
      <w:r>
        <w:rPr>
          <w:rFonts w:ascii="Calibri" w:hAnsi="Calibri"/>
          <w:b/>
          <w:color w:val="525866"/>
          <w:sz w:val="22"/>
        </w:rPr>
        <w:t xml:space="preserve">June 16, 2026 — Chief Information Officer Announces Retirement: </w:t>
      </w:r>
      <w:r>
        <w:rPr>
          <w:rFonts w:ascii="Calibri" w:hAnsi="Calibri"/>
          <w:color w:val="525866"/>
          <w:sz w:val="22"/>
        </w:rPr>
        <w:t>EVP and Chief Information Officer John S. Kellington announced his retirement. Implication: Kellington was leading CINF's AI Center of Excellence and intelligent automation strategy. His departure is a modest risk to the technology/AI execution timeline, though management indicated the team is prepared to continue executing. Kellington exercised stock options and had shares withheld for taxes around this time (see Insider Transactions section).</w:t>
      </w:r>
    </w:p>
    <w:p>
      <w:pPr>
        <w:pStyle w:val="ListBullet"/>
        <w:ind w:left="360" w:hanging="360"/>
      </w:pPr>
      <w:r>
        <w:rPr>
          <w:rFonts w:ascii="Calibri" w:hAnsi="Calibri"/>
          <w:b/>
          <w:color w:val="525866"/>
          <w:sz w:val="22"/>
        </w:rPr>
        <w:t xml:space="preserve">May 19, 2026 — Investor Presentation Filed with SEC: </w:t>
      </w:r>
      <w:r>
        <w:rPr>
          <w:rFonts w:ascii="Calibri" w:hAnsi="Calibri"/>
          <w:color w:val="525866"/>
          <w:sz w:val="22"/>
        </w:rPr>
        <w:t>CINF filed a comprehensive investor presentation reaffirming its 10%–13% annual average VCR target over the next five-year period, 92%–98% combined ratio long-term target, and above-industry-average premium growth strategy. Q1 2026 highlights included: EPS of $1.75 (vs. -$0.57 in Q1 2025), non-GAAP operating income of $330M (vs. -$37M loss), 14% investment income growth, 7% P&amp;C NWP growth, and combined ratio of 95.6%. Implication: Reaffirms management's confidence in the strategy; no guidance changes.</w:t>
      </w:r>
    </w:p>
    <w:p>
      <w:pPr>
        <w:pStyle w:val="ListBullet"/>
        <w:ind w:left="360" w:hanging="360"/>
      </w:pPr>
      <w:r>
        <w:rPr>
          <w:rFonts w:ascii="Calibri" w:hAnsi="Calibri"/>
          <w:b/>
          <w:color w:val="525866"/>
          <w:sz w:val="22"/>
        </w:rPr>
        <w:t xml:space="preserve">May 6, 2026 — Annual Meeting: Shareholders Elect Directors, Reject Special Meeting Rights Proposal: </w:t>
      </w:r>
      <w:r>
        <w:rPr>
          <w:rFonts w:ascii="Calibri" w:hAnsi="Calibri"/>
          <w:color w:val="525866"/>
          <w:sz w:val="22"/>
        </w:rPr>
        <w:t>CINF held its annual shareholder meeting. Directors were elected and a shareholder proposal for special meeting rights was rejected. Dividend declared. Implication: Routine governance; 65th consecutive year of dividend increases maintained.</w:t>
      </w:r>
    </w:p>
    <w:p>
      <w:pPr>
        <w:pStyle w:val="ListBullet"/>
        <w:ind w:left="360" w:hanging="360"/>
      </w:pPr>
      <w:r>
        <w:rPr>
          <w:rFonts w:ascii="Calibri" w:hAnsi="Calibri"/>
          <w:b/>
          <w:color w:val="525866"/>
          <w:sz w:val="22"/>
        </w:rPr>
        <w:t xml:space="preserve">April 27, 2026 — Q1 2026 Earnings: Strong Beat on EPS and Combined Ratio: </w:t>
      </w:r>
      <w:r>
        <w:rPr>
          <w:rFonts w:ascii="Calibri" w:hAnsi="Calibri"/>
          <w:color w:val="525866"/>
          <w:sz w:val="22"/>
        </w:rPr>
        <w:t>CINF reported Q1 2026 operating EPS of $2.10 (vs. consensus $1.95, +7.9% beat); combined ratio of 95.6% (in line with consensus 95.6%); P&amp;C NWP grew 7%; investment income grew 14%. The quarter benefited from dramatically lower cat losses vs. Q1 2025 California wildfires. Implication: Sets a solid baseline for Q2 2026; management tone was measured-to-confident.</w:t>
      </w:r>
    </w:p>
    <w:p>
      <w:pPr>
        <w:pStyle w:val="ListBullet"/>
        <w:ind w:left="360" w:hanging="360"/>
      </w:pPr>
      <w:r>
        <w:rPr>
          <w:rFonts w:ascii="Calibri" w:hAnsi="Calibri"/>
          <w:b/>
          <w:color w:val="525866"/>
          <w:sz w:val="22"/>
        </w:rPr>
        <w:t xml:space="preserve">Peer Q2 2026 Earnings — Sector Read-Throughs (July 2026): </w:t>
      </w:r>
      <w:r>
        <w:rPr>
          <w:rFonts w:ascii="Calibri" w:hAnsi="Calibri"/>
          <w:color w:val="525866"/>
          <w:sz w:val="22"/>
        </w:rPr>
        <w:t>Multiple P&amp;C peers (TRV, CB, WRB, HIG, KNSL, ALL, PGR) have reported Q2 2026 results ahead of CINF. Key read-throughs: (1) cat losses were moderate-to-elevated but not extreme for most reporters; (2) commercial casualty pricing remains positive; (3) investment income continues to grow strongly; (4) HIG's GL/commercial auto reserve charge is a risk flag for the sector. See Section 6 for detailed peer commentary.</w:t>
      </w:r>
    </w:p>
    <w:p>
      <w:pPr>
        <w:pStyle w:val="ListBullet"/>
        <w:ind w:left="360" w:hanging="360"/>
      </w:pPr>
      <w:r>
        <w:rPr>
          <w:rFonts w:ascii="Calibri" w:hAnsi="Calibri"/>
          <w:b/>
          <w:color w:val="525866"/>
          <w:sz w:val="22"/>
        </w:rPr>
        <w:t xml:space="preserve">A.M. Best Rating Affirmation (March 2026): </w:t>
      </w:r>
      <w:r>
        <w:rPr>
          <w:rFonts w:ascii="Calibri" w:hAnsi="Calibri"/>
          <w:color w:val="525866"/>
          <w:sz w:val="22"/>
        </w:rPr>
        <w:t>A.M. Best affirmed CINF's A+ (Superior) rating, citing "strong balance sheet and operating performance." Implication: Confirms financial strength; no rating risk heading into Q2 2026 print.</w:t>
      </w:r>
    </w:p>
    <w:p>
      <w:pPr>
        <w:pStyle w:val="ListBullet"/>
        <w:ind w:left="360" w:hanging="360"/>
      </w:pPr>
      <w:r>
        <w:rPr>
          <w:rFonts w:ascii="Calibri" w:hAnsi="Calibri"/>
          <w:b/>
          <w:color w:val="525866"/>
          <w:sz w:val="22"/>
        </w:rPr>
        <w:t xml:space="preserve">California E&amp;S Strategy — Ongoing: </w:t>
      </w:r>
      <w:r>
        <w:rPr>
          <w:rFonts w:ascii="Calibri" w:hAnsi="Calibri"/>
          <w:color w:val="525866"/>
          <w:sz w:val="22"/>
        </w:rPr>
        <w:t>As of Q1 2026, 77% of CINF's homeowner premiums in California are written on an E&amp;S basis. Management noted "some additional competition" returning to California for new business but characterized E&amp;S rates as "pretty stable" and "adequate." Implication: California wildfire exposure is being actively managed; E&amp;S strategy reduces admitted market risk.</w:t>
      </w:r>
    </w:p>
    <w:p>
      <w:pPr>
        <w:pStyle w:val="ListBullet"/>
        <w:ind w:left="360" w:hanging="360"/>
      </w:pPr>
      <w:r>
        <w:rPr>
          <w:rFonts w:ascii="Calibri" w:hAnsi="Calibri"/>
          <w:b/>
          <w:color w:val="525866"/>
          <w:sz w:val="22"/>
        </w:rPr>
        <w:t xml:space="preserve">Analyst/Rating Changes: </w:t>
      </w:r>
      <w:r>
        <w:rPr>
          <w:rFonts w:ascii="Calibri" w:hAnsi="Calibri"/>
          <w:color w:val="525866"/>
          <w:sz w:val="22"/>
        </w:rPr>
        <w:t>No specific analyst rating or price target changes were identified in the research context for the period since Q1 2026 earnings. The stock's ~1.6x tangible book valuation (per May 2026 investor presentation) is consistent with a modest premium to peers.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identified in the period since Q1 2026 earnings. All transactions are option exercises (code M) with associated tax-withholding share disposals (code F) — routine compensation-related activity with no directional signal. The absence of discretionary selling by senior executives is a mild positive.</w:t>
      </w:r>
    </w:p>
    <w:p>
      <w:r>
        <w:rPr>
          <w:rFonts w:ascii="Calibri" w:hAnsi="Calibri"/>
          <w:i/>
          <w:color w:val="525866"/>
          <w:sz w:val="22"/>
        </w:rPr>
        <w:t>Note: Only Form 4 transactions are shown. All transactions in the period April 27, 2026 – July 26, 2026. Transaction codes: M = option exercise; F = tax withholding (shares withheld to cover taxes on vesting/exercise); G = gift; J = other acquisition/disposition. No open-market buys (code P) or open-market sells (code S) were identified.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Kellington, John S.</w:t>
            </w:r>
          </w:p>
        </w:tc>
        <w:tc>
          <w:tcPr>
            <w:tcW w:type="dxa" w:w="1440"/>
          </w:tcPr>
          <w:p>
            <w:r>
              <w:rPr>
                <w:rFonts w:ascii="Calibri" w:hAnsi="Calibri"/>
                <w:sz w:val="22"/>
              </w:rPr>
              <w:t>EVP, Chief Info Officer</w:t>
            </w:r>
          </w:p>
        </w:tc>
        <w:tc>
          <w:tcPr>
            <w:tcW w:type="dxa" w:w="1440"/>
          </w:tcPr>
          <w:p>
            <w:r>
              <w:rPr>
                <w:rFonts w:ascii="Calibri" w:hAnsi="Calibri"/>
                <w:sz w:val="22"/>
              </w:rPr>
              <w:t>Option Exercise + Tax Withholding</w:t>
            </w:r>
          </w:p>
        </w:tc>
        <w:tc>
          <w:tcPr>
            <w:tcW w:type="dxa" w:w="1440"/>
          </w:tcPr>
          <w:p>
            <w:r>
              <w:rPr>
                <w:rFonts w:ascii="Calibri" w:hAnsi="Calibri"/>
                <w:sz w:val="22"/>
              </w:rPr>
              <w:t>+24,221 exercised; -17,536 withheld for taxes</w:t>
            </w:r>
          </w:p>
        </w:tc>
        <w:tc>
          <w:tcPr>
            <w:tcW w:type="dxa" w:w="1440"/>
          </w:tcPr>
          <w:p>
            <w:r>
              <w:rPr>
                <w:rFonts w:ascii="Calibri" w:hAnsi="Calibri"/>
                <w:sz w:val="22"/>
              </w:rPr>
              <w:t>Jun 8, 2026</w:t>
            </w:r>
          </w:p>
        </w:tc>
        <w:tc>
          <w:tcPr>
            <w:tcW w:type="dxa" w:w="1440"/>
          </w:tcPr>
          <w:p>
            <w:r>
              <w:rPr>
                <w:rFonts w:ascii="Calibri" w:hAnsi="Calibri"/>
                <w:sz w:val="22"/>
              </w:rPr>
              <w:t>Routine option exercise; shares withheld for tax obligation. Kellington announced retirement Jun 16, 2026.</w:t>
            </w:r>
          </w:p>
        </w:tc>
      </w:tr>
      <w:tr>
        <w:tc>
          <w:tcPr>
            <w:tcW w:type="dxa" w:w="1440"/>
          </w:tcPr>
          <w:p>
            <w:r>
              <w:rPr>
                <w:rFonts w:ascii="Calibri" w:hAnsi="Calibri"/>
                <w:sz w:val="22"/>
              </w:rPr>
              <w:t>Fu, Luyang</w:t>
            </w:r>
          </w:p>
        </w:tc>
        <w:tc>
          <w:tcPr>
            <w:tcW w:type="dxa" w:w="1440"/>
          </w:tcPr>
          <w:p>
            <w:r>
              <w:rPr>
                <w:rFonts w:ascii="Calibri" w:hAnsi="Calibri"/>
                <w:sz w:val="22"/>
              </w:rPr>
              <w:t>Sr. VP, Chief Actuary</w:t>
            </w:r>
          </w:p>
        </w:tc>
        <w:tc>
          <w:tcPr>
            <w:tcW w:type="dxa" w:w="1440"/>
          </w:tcPr>
          <w:p>
            <w:r>
              <w:rPr>
                <w:rFonts w:ascii="Calibri" w:hAnsi="Calibri"/>
                <w:sz w:val="22"/>
              </w:rPr>
              <w:t>Tax Withholding (F)</w:t>
            </w:r>
          </w:p>
        </w:tc>
        <w:tc>
          <w:tcPr>
            <w:tcW w:type="dxa" w:w="1440"/>
          </w:tcPr>
          <w:p>
            <w:r>
              <w:rPr>
                <w:rFonts w:ascii="Calibri" w:hAnsi="Calibri"/>
                <w:sz w:val="22"/>
              </w:rPr>
              <w:t>-99 shares withheld</w:t>
            </w:r>
          </w:p>
        </w:tc>
        <w:tc>
          <w:tcPr>
            <w:tcW w:type="dxa" w:w="1440"/>
          </w:tcPr>
          <w:p>
            <w:r>
              <w:rPr>
                <w:rFonts w:ascii="Calibri" w:hAnsi="Calibri"/>
                <w:sz w:val="22"/>
              </w:rPr>
              <w:t>May 28, 2026</w:t>
            </w:r>
          </w:p>
        </w:tc>
        <w:tc>
          <w:tcPr>
            <w:tcW w:type="dxa" w:w="1440"/>
          </w:tcPr>
          <w:p>
            <w:r>
              <w:rPr>
                <w:rFonts w:ascii="Calibri" w:hAnsi="Calibri"/>
                <w:sz w:val="22"/>
              </w:rPr>
              <w:t>Routine tax withholding on vesting; de minimis amount.</w:t>
            </w:r>
          </w:p>
        </w:tc>
      </w:tr>
      <w:tr>
        <w:tc>
          <w:tcPr>
            <w:tcW w:type="dxa" w:w="1440"/>
          </w:tcPr>
          <w:p>
            <w:r>
              <w:rPr>
                <w:rFonts w:ascii="Calibri" w:hAnsi="Calibri"/>
                <w:sz w:val="22"/>
              </w:rPr>
              <w:t>Schiff, Charles Odell</w:t>
            </w:r>
          </w:p>
        </w:tc>
        <w:tc>
          <w:tcPr>
            <w:tcW w:type="dxa" w:w="1440"/>
          </w:tcPr>
          <w:p>
            <w:r>
              <w:rPr>
                <w:rFonts w:ascii="Calibri" w:hAnsi="Calibri"/>
                <w:sz w:val="22"/>
              </w:rPr>
              <w:t>Director</w:t>
            </w:r>
          </w:p>
        </w:tc>
        <w:tc>
          <w:tcPr>
            <w:tcW w:type="dxa" w:w="1440"/>
          </w:tcPr>
          <w:p>
            <w:r>
              <w:rPr>
                <w:rFonts w:ascii="Calibri" w:hAnsi="Calibri"/>
                <w:sz w:val="22"/>
              </w:rPr>
              <w:t>Other Disposition (J) — Indirect</w:t>
            </w:r>
          </w:p>
        </w:tc>
        <w:tc>
          <w:tcPr>
            <w:tcW w:type="dxa" w:w="1440"/>
          </w:tcPr>
          <w:p>
            <w:r>
              <w:rPr>
                <w:rFonts w:ascii="Calibri" w:hAnsi="Calibri"/>
                <w:sz w:val="22"/>
              </w:rPr>
              <w:t>-27,122 shares (indirect, by Grandchildren's Irrevocable Trust)</w:t>
            </w:r>
          </w:p>
        </w:tc>
        <w:tc>
          <w:tcPr>
            <w:tcW w:type="dxa" w:w="1440"/>
          </w:tcPr>
          <w:p>
            <w:r>
              <w:rPr>
                <w:rFonts w:ascii="Calibri" w:hAnsi="Calibri"/>
                <w:sz w:val="22"/>
              </w:rPr>
              <w:t>May 11, 2026</w:t>
            </w:r>
          </w:p>
        </w:tc>
        <w:tc>
          <w:tcPr>
            <w:tcW w:type="dxa" w:w="1440"/>
          </w:tcPr>
          <w:p>
            <w:r>
              <w:rPr>
                <w:rFonts w:ascii="Calibri" w:hAnsi="Calibri"/>
                <w:sz w:val="22"/>
              </w:rPr>
              <w:t>Disposition by irrevocable trust for grandchildren; estate/gift planning, not a discretionary market sale.</w:t>
            </w:r>
          </w:p>
        </w:tc>
      </w:tr>
      <w:tr>
        <w:tc>
          <w:tcPr>
            <w:tcW w:type="dxa" w:w="1440"/>
          </w:tcPr>
          <w:p>
            <w:r>
              <w:rPr>
                <w:rFonts w:ascii="Calibri" w:hAnsi="Calibri"/>
                <w:sz w:val="22"/>
              </w:rPr>
              <w:t>Hogan, Thomas Christopher</w:t>
            </w:r>
          </w:p>
        </w:tc>
        <w:tc>
          <w:tcPr>
            <w:tcW w:type="dxa" w:w="1440"/>
          </w:tcPr>
          <w:p>
            <w:r>
              <w:rPr>
                <w:rFonts w:ascii="Calibri" w:hAnsi="Calibri"/>
                <w:sz w:val="22"/>
              </w:rPr>
              <w:t>EVP, CLO &amp; Corp Secretary</w:t>
            </w:r>
          </w:p>
        </w:tc>
        <w:tc>
          <w:tcPr>
            <w:tcW w:type="dxa" w:w="1440"/>
          </w:tcPr>
          <w:p>
            <w:r>
              <w:rPr>
                <w:rFonts w:ascii="Calibri" w:hAnsi="Calibri"/>
                <w:sz w:val="22"/>
              </w:rPr>
              <w:t>Option Exercise + Tax Withholding</w:t>
            </w:r>
          </w:p>
        </w:tc>
        <w:tc>
          <w:tcPr>
            <w:tcW w:type="dxa" w:w="1440"/>
          </w:tcPr>
          <w:p>
            <w:r>
              <w:rPr>
                <w:rFonts w:ascii="Calibri" w:hAnsi="Calibri"/>
                <w:sz w:val="22"/>
              </w:rPr>
              <w:t>+1,444 exercised; -219 withheld for taxes</w:t>
            </w:r>
          </w:p>
        </w:tc>
        <w:tc>
          <w:tcPr>
            <w:tcW w:type="dxa" w:w="1440"/>
          </w:tcPr>
          <w:p>
            <w:r>
              <w:rPr>
                <w:rFonts w:ascii="Calibri" w:hAnsi="Calibri"/>
                <w:sz w:val="22"/>
              </w:rPr>
              <w:t>May 7, 2026</w:t>
            </w:r>
          </w:p>
        </w:tc>
        <w:tc>
          <w:tcPr>
            <w:tcW w:type="dxa" w:w="1440"/>
          </w:tcPr>
          <w:p>
            <w:r>
              <w:rPr>
                <w:rFonts w:ascii="Calibri" w:hAnsi="Calibri"/>
                <w:sz w:val="22"/>
              </w:rPr>
              <w:t>Routine option exercise; small transaction.</w:t>
            </w:r>
          </w:p>
        </w:tc>
      </w:tr>
      <w:tr>
        <w:tc>
          <w:tcPr>
            <w:tcW w:type="dxa" w:w="1440"/>
          </w:tcPr>
          <w:p>
            <w:r>
              <w:rPr>
                <w:rFonts w:ascii="Calibri" w:hAnsi="Calibri"/>
                <w:sz w:val="22"/>
              </w:rPr>
              <w:t>Brown, Roger A.</w:t>
            </w:r>
          </w:p>
        </w:tc>
        <w:tc>
          <w:tcPr>
            <w:tcW w:type="dxa" w:w="1440"/>
          </w:tcPr>
          <w:p>
            <w:r>
              <w:rPr>
                <w:rFonts w:ascii="Calibri" w:hAnsi="Calibri"/>
                <w:sz w:val="22"/>
              </w:rPr>
              <w:t>Sr. VP, COO (Subsidiary)</w:t>
            </w:r>
          </w:p>
        </w:tc>
        <w:tc>
          <w:tcPr>
            <w:tcW w:type="dxa" w:w="1440"/>
          </w:tcPr>
          <w:p>
            <w:r>
              <w:rPr>
                <w:rFonts w:ascii="Calibri" w:hAnsi="Calibri"/>
                <w:sz w:val="22"/>
              </w:rPr>
              <w:t>Option Exercise + Tax Withholding + Gift</w:t>
            </w:r>
          </w:p>
        </w:tc>
        <w:tc>
          <w:tcPr>
            <w:tcW w:type="dxa" w:w="1440"/>
          </w:tcPr>
          <w:p>
            <w:r>
              <w:rPr>
                <w:rFonts w:ascii="Calibri" w:hAnsi="Calibri"/>
                <w:sz w:val="22"/>
              </w:rPr>
              <w:t>+6,900 exercised; -4,685 withheld for taxes; -2,500 gifted</w:t>
            </w:r>
          </w:p>
        </w:tc>
        <w:tc>
          <w:tcPr>
            <w:tcW w:type="dxa" w:w="1440"/>
          </w:tcPr>
          <w:p>
            <w:r>
              <w:rPr>
                <w:rFonts w:ascii="Calibri" w:hAnsi="Calibri"/>
                <w:sz w:val="22"/>
              </w:rPr>
              <w:t>May 5, 2026</w:t>
            </w:r>
          </w:p>
        </w:tc>
        <w:tc>
          <w:tcPr>
            <w:tcW w:type="dxa" w:w="1440"/>
          </w:tcPr>
          <w:p>
            <w:r>
              <w:rPr>
                <w:rFonts w:ascii="Calibri" w:hAnsi="Calibri"/>
                <w:sz w:val="22"/>
              </w:rPr>
              <w:t>Option exercise with tax withholding; gift of 2,500 shares (charitable/estate planning, not a market sale).</w:t>
            </w:r>
          </w:p>
        </w:tc>
      </w:tr>
      <w:tr>
        <w:tc>
          <w:tcPr>
            <w:tcW w:type="dxa" w:w="1440"/>
          </w:tcPr>
          <w:p>
            <w:r>
              <w:rPr>
                <w:rFonts w:ascii="Calibri" w:hAnsi="Calibri"/>
                <w:sz w:val="22"/>
              </w:rPr>
              <w:t>Sewell, Michael J.</w:t>
            </w:r>
          </w:p>
        </w:tc>
        <w:tc>
          <w:tcPr>
            <w:tcW w:type="dxa" w:w="1440"/>
          </w:tcPr>
          <w:p>
            <w:r>
              <w:rPr>
                <w:rFonts w:ascii="Calibri" w:hAnsi="Calibri"/>
                <w:sz w:val="22"/>
              </w:rPr>
              <w:t>CFO, EVP &amp; Treasurer</w:t>
            </w:r>
          </w:p>
        </w:tc>
        <w:tc>
          <w:tcPr>
            <w:tcW w:type="dxa" w:w="1440"/>
          </w:tcPr>
          <w:p>
            <w:r>
              <w:rPr>
                <w:rFonts w:ascii="Calibri" w:hAnsi="Calibri"/>
                <w:sz w:val="22"/>
              </w:rPr>
              <w:t>Option Exercise + Tax Withholding</w:t>
            </w:r>
          </w:p>
        </w:tc>
        <w:tc>
          <w:tcPr>
            <w:tcW w:type="dxa" w:w="1440"/>
          </w:tcPr>
          <w:p>
            <w:r>
              <w:rPr>
                <w:rFonts w:ascii="Calibri" w:hAnsi="Calibri"/>
                <w:sz w:val="22"/>
              </w:rPr>
              <w:t>+36,909 exercised; -8,822 withheld for taxes</w:t>
            </w:r>
          </w:p>
        </w:tc>
        <w:tc>
          <w:tcPr>
            <w:tcW w:type="dxa" w:w="1440"/>
          </w:tcPr>
          <w:p>
            <w:r>
              <w:rPr>
                <w:rFonts w:ascii="Calibri" w:hAnsi="Calibri"/>
                <w:sz w:val="22"/>
              </w:rPr>
              <w:t>May 1, 2026</w:t>
            </w:r>
          </w:p>
        </w:tc>
        <w:tc>
          <w:tcPr>
            <w:tcW w:type="dxa" w:w="1440"/>
          </w:tcPr>
          <w:p>
            <w:r>
              <w:rPr>
                <w:rFonts w:ascii="Calibri" w:hAnsi="Calibri"/>
                <w:sz w:val="22"/>
              </w:rPr>
              <w:t>Largest transaction in the period; routine option exercise by CFO. Net acquisition of ~28,087 shares.</w:t>
            </w:r>
          </w:p>
        </w:tc>
      </w:tr>
      <w:tr>
        <w:tc>
          <w:tcPr>
            <w:tcW w:type="dxa" w:w="1440"/>
          </w:tcPr>
          <w:p>
            <w:r>
              <w:rPr>
                <w:rFonts w:ascii="Calibri" w:hAnsi="Calibri"/>
                <w:sz w:val="22"/>
              </w:rPr>
              <w:t>Cracas, Teresa C.</w:t>
            </w:r>
          </w:p>
        </w:tc>
        <w:tc>
          <w:tcPr>
            <w:tcW w:type="dxa" w:w="1440"/>
          </w:tcPr>
          <w:p>
            <w:r>
              <w:rPr>
                <w:rFonts w:ascii="Calibri" w:hAnsi="Calibri"/>
                <w:sz w:val="22"/>
              </w:rPr>
              <w:t>EVP, Chief Risk Officer</w:t>
            </w:r>
          </w:p>
        </w:tc>
        <w:tc>
          <w:tcPr>
            <w:tcW w:type="dxa" w:w="1440"/>
          </w:tcPr>
          <w:p>
            <w:r>
              <w:rPr>
                <w:rFonts w:ascii="Calibri" w:hAnsi="Calibri"/>
                <w:sz w:val="22"/>
              </w:rPr>
              <w:t>Option Exercise + Tax Withholding</w:t>
            </w:r>
          </w:p>
        </w:tc>
        <w:tc>
          <w:tcPr>
            <w:tcW w:type="dxa" w:w="1440"/>
          </w:tcPr>
          <w:p>
            <w:r>
              <w:rPr>
                <w:rFonts w:ascii="Calibri" w:hAnsi="Calibri"/>
                <w:sz w:val="22"/>
              </w:rPr>
              <w:t>+15,386 exercised; -10,321 withheld for taxes</w:t>
            </w:r>
          </w:p>
        </w:tc>
        <w:tc>
          <w:tcPr>
            <w:tcW w:type="dxa" w:w="1440"/>
          </w:tcPr>
          <w:p>
            <w:r>
              <w:rPr>
                <w:rFonts w:ascii="Calibri" w:hAnsi="Calibri"/>
                <w:sz w:val="22"/>
              </w:rPr>
              <w:t>Apr 29, 2026</w:t>
            </w:r>
          </w:p>
        </w:tc>
        <w:tc>
          <w:tcPr>
            <w:tcW w:type="dxa" w:w="1440"/>
          </w:tcPr>
          <w:p>
            <w:r>
              <w:rPr>
                <w:rFonts w:ascii="Calibri" w:hAnsi="Calibri"/>
                <w:sz w:val="22"/>
              </w:rPr>
              <w:t>Routine option exercise; net acquisition of ~5,065 shares.</w:t>
            </w:r>
          </w:p>
        </w:tc>
      </w:tr>
      <w:tr>
        <w:tc>
          <w:tcPr>
            <w:tcW w:type="dxa" w:w="1440"/>
          </w:tcPr>
          <w:p>
            <w:r>
              <w:rPr>
                <w:rFonts w:ascii="Calibri" w:hAnsi="Calibri"/>
                <w:sz w:val="22"/>
              </w:rPr>
              <w:t>Fu, Luyang</w:t>
            </w:r>
          </w:p>
        </w:tc>
        <w:tc>
          <w:tcPr>
            <w:tcW w:type="dxa" w:w="1440"/>
          </w:tcPr>
          <w:p>
            <w:r>
              <w:rPr>
                <w:rFonts w:ascii="Calibri" w:hAnsi="Calibri"/>
                <w:sz w:val="22"/>
              </w:rPr>
              <w:t>Sr. VP, Chief Actuary</w:t>
            </w:r>
          </w:p>
        </w:tc>
        <w:tc>
          <w:tcPr>
            <w:tcW w:type="dxa" w:w="1440"/>
          </w:tcPr>
          <w:p>
            <w:r>
              <w:rPr>
                <w:rFonts w:ascii="Calibri" w:hAnsi="Calibri"/>
                <w:sz w:val="22"/>
              </w:rPr>
              <w:t>Option Exercise + Tax Withholding</w:t>
            </w:r>
          </w:p>
        </w:tc>
        <w:tc>
          <w:tcPr>
            <w:tcW w:type="dxa" w:w="1440"/>
          </w:tcPr>
          <w:p>
            <w:r>
              <w:rPr>
                <w:rFonts w:ascii="Calibri" w:hAnsi="Calibri"/>
                <w:sz w:val="22"/>
              </w:rPr>
              <w:t>+957 exercised; -147 withheld for taxes</w:t>
            </w:r>
          </w:p>
        </w:tc>
        <w:tc>
          <w:tcPr>
            <w:tcW w:type="dxa" w:w="1440"/>
          </w:tcPr>
          <w:p>
            <w:r>
              <w:rPr>
                <w:rFonts w:ascii="Calibri" w:hAnsi="Calibri"/>
                <w:sz w:val="22"/>
              </w:rPr>
              <w:t>Apr 29, 2026</w:t>
            </w:r>
          </w:p>
        </w:tc>
        <w:tc>
          <w:tcPr>
            <w:tcW w:type="dxa" w:w="1440"/>
          </w:tcPr>
          <w:p>
            <w:r>
              <w:rPr>
                <w:rFonts w:ascii="Calibri" w:hAnsi="Calibri"/>
                <w:sz w:val="22"/>
              </w:rPr>
              <w:t>Routine option exercise; small transaction.</w:t>
            </w:r>
          </w:p>
        </w:tc>
      </w:tr>
      <w:tr>
        <w:tc>
          <w:tcPr>
            <w:tcW w:type="dxa" w:w="1440"/>
          </w:tcPr>
          <w:p>
            <w:r>
              <w:rPr>
                <w:rFonts w:ascii="Calibri" w:hAnsi="Calibri"/>
                <w:sz w:val="22"/>
              </w:rPr>
              <w:t>Kellington, John S.</w:t>
            </w:r>
          </w:p>
        </w:tc>
        <w:tc>
          <w:tcPr>
            <w:tcW w:type="dxa" w:w="1440"/>
          </w:tcPr>
          <w:p>
            <w:r>
              <w:rPr>
                <w:rFonts w:ascii="Calibri" w:hAnsi="Calibri"/>
                <w:sz w:val="22"/>
              </w:rPr>
              <w:t>EVP, Chief Info Officer</w:t>
            </w:r>
          </w:p>
        </w:tc>
        <w:tc>
          <w:tcPr>
            <w:tcW w:type="dxa" w:w="1440"/>
          </w:tcPr>
          <w:p>
            <w:r>
              <w:rPr>
                <w:rFonts w:ascii="Calibri" w:hAnsi="Calibri"/>
                <w:sz w:val="22"/>
              </w:rPr>
              <w:t>Option Exercise + Tax Withholding</w:t>
            </w:r>
          </w:p>
        </w:tc>
        <w:tc>
          <w:tcPr>
            <w:tcW w:type="dxa" w:w="1440"/>
          </w:tcPr>
          <w:p>
            <w:r>
              <w:rPr>
                <w:rFonts w:ascii="Calibri" w:hAnsi="Calibri"/>
                <w:sz w:val="22"/>
              </w:rPr>
              <w:t>+28,156 exercised; -18,935 withheld for taxes</w:t>
            </w:r>
          </w:p>
        </w:tc>
        <w:tc>
          <w:tcPr>
            <w:tcW w:type="dxa" w:w="1440"/>
          </w:tcPr>
          <w:p>
            <w:r>
              <w:rPr>
                <w:rFonts w:ascii="Calibri" w:hAnsi="Calibri"/>
                <w:sz w:val="22"/>
              </w:rPr>
              <w:t>Apr 29, 2026</w:t>
            </w:r>
          </w:p>
        </w:tc>
        <w:tc>
          <w:tcPr>
            <w:tcW w:type="dxa" w:w="1440"/>
          </w:tcPr>
          <w:p>
            <w:r>
              <w:rPr>
                <w:rFonts w:ascii="Calibri" w:hAnsi="Calibri"/>
                <w:sz w:val="22"/>
              </w:rPr>
              <w:t>Routine option exercise; net acquisition of ~9,221 shares.</w:t>
            </w:r>
          </w:p>
        </w:tc>
      </w:tr>
    </w:tbl>
    <w:p>
      <w:r>
        <w:rPr>
          <w:rFonts w:ascii="Calibri" w:hAnsi="Calibri"/>
          <w:i/>
          <w:color w:val="525866"/>
          <w:sz w:val="22"/>
        </w:rPr>
        <w:t xml:space="preserve">Source: Insider Transaction Data (SEC Form 4 filings). </w:t>
      </w:r>
      <w:r>
        <w:rPr>
          <w:rFonts w:ascii="Calibri" w:hAnsi="Calibri"/>
          <w:i/>
          <w:color w:val="525866"/>
          <w:sz w:val="22"/>
        </w:rPr>
        <w:t>No open-market buys (code P) or open-market sells (code S) were identified in the period April 27 – July 26, 2026. All transactions are compensation-related (option exercises, tax withholding, gifts, or irrevocable trust dispositions). The CFO's large option exercise (36,909 shares, net +28,087 shares retained) is the most notable transaction but is routine in nature. The absence of any discretionary open-market selling by senior management is a mild positive signal heading into the Q2 2026 print.</w:t>
      </w:r>
    </w:p>
    <w:p>
      <w:r>
        <w:rPr>
          <w:rFonts w:ascii="Calibri" w:hAnsi="Calibri"/>
          <w:b/>
          <w:i/>
          <w:color w:val="525866"/>
          <w:sz w:val="22"/>
        </w:rPr>
        <w:t>— End of Report —</w:t>
      </w:r>
    </w:p>
    <w:p>
      <w:r>
        <w:rPr>
          <w:rFonts w:ascii="Calibri" w:hAnsi="Calibri"/>
          <w:b/>
          <w:color w:val="525866"/>
          <w:sz w:val="22"/>
        </w:rPr>
        <w:t xml:space="preserve">Disclosures: </w:t>
      </w:r>
      <w:r>
        <w:rPr>
          <w:rFonts w:ascii="Calibri" w:hAnsi="Calibri"/>
          <w:color w:val="525866"/>
          <w:sz w:val="22"/>
        </w:rPr>
        <w:t>This document is prepared for informational purposes only. Financial data sourced from Visible Alpha Consensus and Actuals Data, Stock Price Data (Yahoo Finance), Insider Transaction Data (SEC Form 4), and company filings/transcripts. All consensus estimates as of July 26, 2026. Past beat/miss history is not indicative of future results.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