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Cincinnati Financial Corporation (CINF)</w:t>
      </w:r>
    </w:p>
    <w:p>
      <w:pPr>
        <w:pStyle w:val="Heading2"/>
      </w:pPr>
      <w:r>
        <w:rPr>
          <w:rFonts w:ascii="Calibri" w:hAnsi="Calibri"/>
          <w:b/>
          <w:color w:val="3B4259"/>
          <w:sz w:val="28"/>
        </w:rPr>
        <w:t>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Ticker</w:t>
            </w:r>
          </w:p>
        </w:tc>
        <w:tc>
          <w:tcPr>
            <w:tcW w:type="dxa" w:w="2160"/>
          </w:tcPr>
          <w:p>
            <w:r>
              <w:rPr>
                <w:rFonts w:ascii="Calibri" w:hAnsi="Calibri"/>
                <w:sz w:val="22"/>
              </w:rPr>
              <w:t>CINF</w:t>
            </w:r>
          </w:p>
        </w:tc>
        <w:tc>
          <w:tcPr>
            <w:tcW w:type="dxa" w:w="2160"/>
          </w:tcPr>
          <w:p>
            <w:r>
              <w:rPr>
                <w:rFonts w:ascii="Calibri" w:hAnsi="Calibri"/>
                <w:b/>
                <w:sz w:val="22"/>
              </w:rPr>
              <w:t>Earnings Date</w:t>
            </w:r>
          </w:p>
        </w:tc>
        <w:tc>
          <w:tcPr>
            <w:tcW w:type="dxa" w:w="2160"/>
          </w:tcPr>
          <w:p>
            <w:r>
              <w:rPr>
                <w:rFonts w:ascii="Calibri" w:hAnsi="Calibri"/>
                <w:sz w:val="22"/>
              </w:rPr>
              <w:t>July 28, 2026 (11:00 AM ET)</w:t>
            </w:r>
          </w:p>
        </w:tc>
      </w:tr>
      <w:tr>
        <w:tc>
          <w:tcPr>
            <w:tcW w:type="dxa" w:w="2160"/>
          </w:tcPr>
          <w:p>
            <w:r>
              <w:rPr>
                <w:rFonts w:ascii="Calibri" w:hAnsi="Calibri"/>
                <w:b/>
                <w:sz w:val="22"/>
              </w:rPr>
              <w:t>Reporting Period</w:t>
            </w:r>
          </w:p>
        </w:tc>
        <w:tc>
          <w:tcPr>
            <w:tcW w:type="dxa" w:w="2160"/>
          </w:tcPr>
          <w:p>
            <w:r>
              <w:rPr>
                <w:rFonts w:ascii="Calibri" w:hAnsi="Calibri"/>
                <w:sz w:val="22"/>
              </w:rPr>
              <w:t>Q2 2026 (June 30, 2026)</w:t>
            </w:r>
          </w:p>
        </w:tc>
        <w:tc>
          <w:tcPr>
            <w:tcW w:type="dxa" w:w="2160"/>
          </w:tcPr>
          <w:p>
            <w:r>
              <w:rPr>
                <w:rFonts w:ascii="Calibri" w:hAnsi="Calibri"/>
                <w:b/>
                <w:sz w:val="22"/>
              </w:rPr>
              <w:t>Prepared</w:t>
            </w:r>
          </w:p>
        </w:tc>
        <w:tc>
          <w:tcPr>
            <w:tcW w:type="dxa" w:w="2160"/>
          </w:tcPr>
          <w:p>
            <w:r>
              <w:rPr>
                <w:rFonts w:ascii="Calibri" w:hAnsi="Calibri"/>
                <w:sz w:val="22"/>
              </w:rPr>
              <w:t>July 26, 2026</w:t>
            </w:r>
          </w:p>
        </w:tc>
      </w:tr>
      <w:tr>
        <w:tc>
          <w:tcPr>
            <w:tcW w:type="dxa" w:w="2160"/>
          </w:tcPr>
          <w:p>
            <w:r>
              <w:rPr>
                <w:rFonts w:ascii="Calibri" w:hAnsi="Calibri"/>
                <w:b/>
                <w:sz w:val="22"/>
              </w:rPr>
              <w:t>Sector</w:t>
            </w:r>
          </w:p>
        </w:tc>
        <w:tc>
          <w:tcPr>
            <w:tcW w:type="dxa" w:w="2160"/>
          </w:tcPr>
          <w:p>
            <w:r>
              <w:rPr>
                <w:rFonts w:ascii="Calibri" w:hAnsi="Calibri"/>
                <w:sz w:val="22"/>
              </w:rPr>
              <w:t>Property &amp; Casualty Insurance</w:t>
            </w:r>
          </w:p>
        </w:tc>
        <w:tc>
          <w:tcPr>
            <w:tcW w:type="dxa" w:w="2160"/>
          </w:tcPr>
          <w:p>
            <w:r>
              <w:rPr>
                <w:rFonts w:ascii="Calibri" w:hAnsi="Calibri"/>
                <w:b/>
                <w:sz w:val="22"/>
              </w:rPr>
              <w:t>Sector ETF</w:t>
            </w:r>
          </w:p>
        </w:tc>
        <w:tc>
          <w:tcPr>
            <w:tcW w:type="dxa" w:w="2160"/>
          </w:tcPr>
          <w:p>
            <w:r>
              <w:rPr>
                <w:rFonts w:ascii="Calibri" w:hAnsi="Calibri"/>
                <w:sz w:val="22"/>
              </w:rPr>
              <w:t>KIE (SPDR S&amp;P Insurance ETF)</w:t>
            </w:r>
          </w:p>
        </w:tc>
      </w:tr>
    </w:tbl>
    <w:p>
      <w:pPr>
        <w:pStyle w:val="Heading2"/>
      </w:pPr>
      <w:r>
        <w:rPr>
          <w:rFonts w:ascii="Calibri" w:hAnsi="Calibri"/>
          <w:b/>
          <w:color w:val="3B4259"/>
          <w:sz w:val="28"/>
        </w:rPr>
        <w:t>Earnings Preview</w:t>
      </w:r>
    </w:p>
    <w:p>
      <w:r>
        <w:rPr>
          <w:rFonts w:ascii="Calibri" w:hAnsi="Calibri"/>
          <w:b/>
          <w:color w:val="525866"/>
          <w:sz w:val="22"/>
        </w:rPr>
        <w:t xml:space="preserve">Key Takeaway: </w:t>
      </w:r>
      <w:r>
        <w:rPr>
          <w:rFonts w:ascii="Calibri" w:hAnsi="Calibri"/>
          <w:color w:val="525866"/>
          <w:sz w:val="22"/>
        </w:rPr>
        <w:t>Setup is modestly constructive — consensus sits at a manageable bar on the combined ratio (~97.3%) and operating EPS (~$1.82), and CINF enters Q2 with strong investment income momentum and a benign catastrophe quarter (per peers), but the single biggest swing factor is whether commercial lines pricing softness and any adverse casualty reserve development erode the underlying loss ratio.</w:t>
      </w:r>
    </w:p>
    <w:p>
      <w:r>
        <w:rPr>
          <w:rFonts w:ascii="Calibri" w:hAnsi="Calibri"/>
          <w:b/>
          <w:color w:val="525866"/>
          <w:sz w:val="22"/>
        </w:rPr>
        <w:t xml:space="preserve">Bar: </w:t>
      </w:r>
      <w:r>
        <w:rPr>
          <w:rFonts w:ascii="Calibri" w:hAnsi="Calibri"/>
          <w:color w:val="525866"/>
          <w:sz w:val="22"/>
        </w:rPr>
        <w:t xml:space="preserve">Consensus expects a Q2 2026 P&amp;C combined ratio of approximately 97.3% and operating EPS of ~$1.82, both of which represent a modest step-up from Q1's 95.6% combined ratio — a bar that appears achievable given the seasonally higher catastrophe load typical of Q2 but partially offset by a relatively benign cat quarter signaled by peers (WRB reported only $62M in cat losses, 2 loss ratio points; TRV reported ~$400M after-tax). </w:t>
      </w:r>
      <w:r>
        <w:rPr>
          <w:rFonts w:ascii="Calibri" w:hAnsi="Calibri"/>
          <w:b/>
          <w:color w:val="525866"/>
          <w:sz w:val="22"/>
        </w:rPr>
        <w:t>Net written premium consensus of ~$2.90B implies ~6% YoY growth</w:t>
      </w:r>
      <w:r>
        <w:rPr>
          <w:rFonts w:ascii="Calibri" w:hAnsi="Calibri"/>
          <w:color w:val="525866"/>
          <w:sz w:val="22"/>
        </w:rPr>
        <w:t>, consistent with CINF's Q1 pace of 7% and management's stated strategy of growing above the industry's projected 4% full-year rate.</w:t>
      </w:r>
    </w:p>
    <w:p>
      <w:r>
        <w:rPr>
          <w:rFonts w:ascii="Calibri" w:hAnsi="Calibri"/>
          <w:b/>
          <w:color w:val="525866"/>
          <w:sz w:val="22"/>
        </w:rPr>
        <w:t xml:space="preserve">Guidance/Tone: </w:t>
      </w:r>
      <w:r>
        <w:rPr>
          <w:rFonts w:ascii="Calibri" w:hAnsi="Calibri"/>
          <w:color w:val="525866"/>
          <w:sz w:val="22"/>
        </w:rPr>
        <w:t>Management's posture on the Q1 call was cautiously optimistic — CEO Steve Spray characterized the market as "returning to a more normal state" after the historic hard market years of 2024–2025, while explicitly flagging that commercial lines pricing is "biased downwards" (especially for larger accounts and commercial property) and that the company is "not out of the woods" on social inflation and legal system abuse. No explicit numerical guidance was provided for Q2 or full-year 2026; the May 2026 investor handout reiterated long-term targets (combined ratio 92%–98%, VCR 10%–13% annually) without revision.</w:t>
      </w:r>
    </w:p>
    <w:p>
      <w:r>
        <w:rPr>
          <w:rFonts w:ascii="Calibri" w:hAnsi="Calibri"/>
          <w:b/>
          <w:color w:val="525866"/>
          <w:sz w:val="22"/>
        </w:rPr>
        <w:t xml:space="preserve">Estimate Trajectory: </w:t>
      </w:r>
      <w:r>
        <w:rPr>
          <w:rFonts w:ascii="Calibri" w:hAnsi="Calibri"/>
          <w:color w:val="525866"/>
          <w:sz w:val="22"/>
        </w:rPr>
        <w:t>Operating EPS estimates for Q2 2026 have risen from ~$1.74 (as of the Q1 earnings date) to ~$1.82 currently — a modest ~4.4% upward revision — while the full-year 2026 consensus has edged up from ~$8.79 to ~$8.86. The combined ratio estimate has tightened slightly favorably (from ~97.9% to ~97.3%). Revisions are tracking broadly in line with guidance, with no material divergence, suggesting the street is not pricing in a large surprise in either direction.</w:t>
      </w:r>
    </w:p>
    <w:p>
      <w:r>
        <w:rPr>
          <w:rFonts w:ascii="Calibri" w:hAnsi="Calibri"/>
          <w:b/>
          <w:color w:val="525866"/>
          <w:sz w:val="22"/>
        </w:rPr>
        <w:t xml:space="preserve">Stock Setup: </w:t>
      </w:r>
      <w:r>
        <w:rPr>
          <w:rFonts w:ascii="Calibri" w:hAnsi="Calibri"/>
          <w:color w:val="525866"/>
          <w:sz w:val="22"/>
        </w:rPr>
        <w:t>CINF has rallied ~10.4% since the Q1 earnings date (April 27) vs. KIE +11.0% and SPY +3.3%, with the stock reaching a high of ~$192 in early July before pulling back to ~$183. The stock trades at ~19.8x NTM P/E and ~1.64x P/Book — a modest premium to P&amp;C peers — suggesting the market has partially priced in continued strong execution but has not fully stretched the multiple. The recent pullback from highs creates a more neutral setup heading into the print.</w:t>
      </w:r>
    </w:p>
    <w:p>
      <w:r>
        <w:rPr>
          <w:rFonts w:ascii="Calibri" w:hAnsi="Calibri"/>
          <w:b/>
          <w:color w:val="525866"/>
          <w:sz w:val="22"/>
        </w:rPr>
        <w:t xml:space="preserve">Wildcard: </w:t>
      </w:r>
      <w:r>
        <w:rPr>
          <w:rFonts w:ascii="Calibri" w:hAnsi="Calibri"/>
          <w:color w:val="525866"/>
          <w:sz w:val="22"/>
        </w:rPr>
        <w:t xml:space="preserve">The single biggest wildcard is </w:t>
      </w:r>
      <w:r>
        <w:rPr>
          <w:rFonts w:ascii="Calibri" w:hAnsi="Calibri"/>
          <w:b/>
          <w:color w:val="525866"/>
          <w:sz w:val="22"/>
        </w:rPr>
        <w:t>catastrophe losses for Q2 2026</w:t>
      </w:r>
      <w:r>
        <w:rPr>
          <w:rFonts w:ascii="Calibri" w:hAnsi="Calibri"/>
          <w:color w:val="525866"/>
          <w:sz w:val="22"/>
        </w:rPr>
        <w:t xml:space="preserve"> — Q2 is historically CINF's most cat-exposed quarter, and while peers signal a relatively benign quarter overall, any concentration of severe convective storm activity in CINF's Midwest/Southeast footprint could push the combined ratio materially above consensus. On the upside, a continuation of the favorable reserve development trend (Q1 saw $81M of favorable PYD) and stronger-than-expected investment income (Q1 grew 14% YoY) could drive a meaningful beat.</w:t>
      </w:r>
    </w:p>
    <w:p>
      <w:r>
        <w:br w:type="page"/>
      </w:r>
    </w:p>
    <w:p>
      <w:pPr>
        <w:pStyle w:val="Heading2"/>
      </w:pPr>
      <w:r>
        <w:rPr>
          <w:rFonts w:ascii="Calibri" w:hAnsi="Calibri"/>
          <w:b/>
          <w:color w:val="3B4259"/>
          <w:sz w:val="28"/>
        </w:rPr>
        <w:t>KPIs &amp; Consensus Expectations</w:t>
      </w:r>
    </w:p>
    <w:p>
      <w:r>
        <w:rPr>
          <w:rFonts w:ascii="Calibri" w:hAnsi="Calibri"/>
          <w:b/>
          <w:color w:val="525866"/>
          <w:sz w:val="22"/>
        </w:rPr>
        <w:t xml:space="preserve">Key Takeaway: </w:t>
      </w:r>
      <w:r>
        <w:rPr>
          <w:rFonts w:ascii="Calibri" w:hAnsi="Calibri"/>
          <w:color w:val="525866"/>
          <w:sz w:val="22"/>
        </w:rPr>
        <w:t>Consensus sets a manageable bar on the combined ratio (~97.3%) and operating EPS (~$1.82), with investment income the more reliable beat driver given the structural tailwind from higher reinvestment yields. The combined ratio is the bigger swing factor — cat load and reserve development will determine whether CINF prints inside or outside its 92%–98% long-term target range.</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Operating EPS (Diluted)</w:t>
            </w:r>
          </w:p>
        </w:tc>
        <w:tc>
          <w:tcPr>
            <w:tcW w:type="dxa" w:w="1234"/>
          </w:tcPr>
          <w:p>
            <w:r>
              <w:rPr>
                <w:rFonts w:ascii="Calibri" w:hAnsi="Calibri"/>
                <w:sz w:val="22"/>
              </w:rPr>
              <w:t>$2.10</w:t>
            </w:r>
          </w:p>
        </w:tc>
        <w:tc>
          <w:tcPr>
            <w:tcW w:type="dxa" w:w="1234"/>
          </w:tcPr>
          <w:p>
            <w:r>
              <w:rPr>
                <w:rFonts w:ascii="Calibri" w:hAnsi="Calibri"/>
                <w:sz w:val="22"/>
              </w:rPr>
              <w:t>$1.97</w:t>
            </w:r>
          </w:p>
        </w:tc>
        <w:tc>
          <w:tcPr>
            <w:tcW w:type="dxa" w:w="1234"/>
          </w:tcPr>
          <w:p>
            <w:r>
              <w:rPr>
                <w:rFonts w:ascii="Calibri" w:hAnsi="Calibri"/>
                <w:sz w:val="22"/>
              </w:rPr>
              <w:t>$1.82</w:t>
            </w:r>
          </w:p>
        </w:tc>
        <w:tc>
          <w:tcPr>
            <w:tcW w:type="dxa" w:w="1234"/>
          </w:tcPr>
          <w:p>
            <w:r>
              <w:rPr>
                <w:rFonts w:ascii="Calibri" w:hAnsi="Calibri"/>
                <w:sz w:val="22"/>
              </w:rPr>
              <w:t>-7.6%</w:t>
            </w:r>
          </w:p>
        </w:tc>
        <w:tc>
          <w:tcPr>
            <w:tcW w:type="dxa" w:w="1234"/>
          </w:tcPr>
          <w:p>
            <w:r>
              <w:rPr>
                <w:rFonts w:ascii="Calibri" w:hAnsi="Calibri"/>
                <w:sz w:val="22"/>
              </w:rPr>
              <w:t>No explicit Q2 guidance</w:t>
            </w:r>
          </w:p>
        </w:tc>
        <w:tc>
          <w:tcPr>
            <w:tcW w:type="dxa" w:w="1234"/>
          </w:tcPr>
          <w:p>
            <w:r>
              <w:rPr>
                <w:rFonts w:ascii="Calibri" w:hAnsi="Calibri"/>
                <w:sz w:val="22"/>
              </w:rPr>
              <w:t>N/A</w:t>
            </w:r>
          </w:p>
        </w:tc>
      </w:tr>
      <w:tr>
        <w:tc>
          <w:tcPr>
            <w:tcW w:type="dxa" w:w="1234"/>
          </w:tcPr>
          <w:p>
            <w:r>
              <w:rPr>
                <w:rFonts w:ascii="Calibri" w:hAnsi="Calibri"/>
                <w:sz w:val="22"/>
              </w:rPr>
              <w:t>P&amp;C Combined Ratio (%)</w:t>
            </w:r>
          </w:p>
        </w:tc>
        <w:tc>
          <w:tcPr>
            <w:tcW w:type="dxa" w:w="1234"/>
          </w:tcPr>
          <w:p>
            <w:r>
              <w:rPr>
                <w:rFonts w:ascii="Calibri" w:hAnsi="Calibri"/>
                <w:sz w:val="22"/>
              </w:rPr>
              <w:t>95.6%</w:t>
            </w:r>
          </w:p>
        </w:tc>
        <w:tc>
          <w:tcPr>
            <w:tcW w:type="dxa" w:w="1234"/>
          </w:tcPr>
          <w:p>
            <w:r>
              <w:rPr>
                <w:rFonts w:ascii="Calibri" w:hAnsi="Calibri"/>
                <w:sz w:val="22"/>
              </w:rPr>
              <w:t>94.9%</w:t>
            </w:r>
          </w:p>
        </w:tc>
        <w:tc>
          <w:tcPr>
            <w:tcW w:type="dxa" w:w="1234"/>
          </w:tcPr>
          <w:p>
            <w:r>
              <w:rPr>
                <w:rFonts w:ascii="Calibri" w:hAnsi="Calibri"/>
                <w:sz w:val="22"/>
              </w:rPr>
              <w:t>97.3%</w:t>
            </w:r>
          </w:p>
        </w:tc>
        <w:tc>
          <w:tcPr>
            <w:tcW w:type="dxa" w:w="1234"/>
          </w:tcPr>
          <w:p>
            <w:r>
              <w:rPr>
                <w:rFonts w:ascii="Calibri" w:hAnsi="Calibri"/>
                <w:sz w:val="22"/>
              </w:rPr>
              <w:t>+2.4 pts</w:t>
            </w:r>
          </w:p>
        </w:tc>
        <w:tc>
          <w:tcPr>
            <w:tcW w:type="dxa" w:w="1234"/>
          </w:tcPr>
          <w:p>
            <w:r>
              <w:rPr>
                <w:rFonts w:ascii="Calibri" w:hAnsi="Calibri"/>
                <w:sz w:val="22"/>
              </w:rPr>
              <w:t>92%–98% LT target</w:t>
            </w:r>
          </w:p>
        </w:tc>
        <w:tc>
          <w:tcPr>
            <w:tcW w:type="dxa" w:w="1234"/>
          </w:tcPr>
          <w:p>
            <w:r>
              <w:rPr>
                <w:rFonts w:ascii="Calibri" w:hAnsi="Calibri"/>
                <w:sz w:val="22"/>
              </w:rPr>
              <w:t>Within target range</w:t>
            </w:r>
          </w:p>
        </w:tc>
      </w:tr>
      <w:tr>
        <w:tc>
          <w:tcPr>
            <w:tcW w:type="dxa" w:w="1234"/>
          </w:tcPr>
          <w:p>
            <w:r>
              <w:rPr>
                <w:rFonts w:ascii="Calibri" w:hAnsi="Calibri"/>
                <w:sz w:val="22"/>
              </w:rPr>
              <w:t>Net Written Premium</w:t>
            </w:r>
          </w:p>
        </w:tc>
        <w:tc>
          <w:tcPr>
            <w:tcW w:type="dxa" w:w="1234"/>
          </w:tcPr>
          <w:p>
            <w:r>
              <w:rPr>
                <w:rFonts w:ascii="Calibri" w:hAnsi="Calibri"/>
                <w:sz w:val="22"/>
              </w:rPr>
              <w:t>$2,668M</w:t>
            </w:r>
          </w:p>
        </w:tc>
        <w:tc>
          <w:tcPr>
            <w:tcW w:type="dxa" w:w="1234"/>
          </w:tcPr>
          <w:p>
            <w:r>
              <w:rPr>
                <w:rFonts w:ascii="Calibri" w:hAnsi="Calibri"/>
                <w:sz w:val="22"/>
              </w:rPr>
              <w:t>$2,733M</w:t>
            </w:r>
          </w:p>
        </w:tc>
        <w:tc>
          <w:tcPr>
            <w:tcW w:type="dxa" w:w="1234"/>
          </w:tcPr>
          <w:p>
            <w:r>
              <w:rPr>
                <w:rFonts w:ascii="Calibri" w:hAnsi="Calibri"/>
                <w:sz w:val="22"/>
              </w:rPr>
              <w:t>$2,895M</w:t>
            </w:r>
          </w:p>
        </w:tc>
        <w:tc>
          <w:tcPr>
            <w:tcW w:type="dxa" w:w="1234"/>
          </w:tcPr>
          <w:p>
            <w:r>
              <w:rPr>
                <w:rFonts w:ascii="Calibri" w:hAnsi="Calibri"/>
                <w:sz w:val="22"/>
              </w:rPr>
              <w:t>+5.9%</w:t>
            </w:r>
          </w:p>
        </w:tc>
        <w:tc>
          <w:tcPr>
            <w:tcW w:type="dxa" w:w="1234"/>
          </w:tcPr>
          <w:p>
            <w:r>
              <w:rPr>
                <w:rFonts w:ascii="Calibri" w:hAnsi="Calibri"/>
                <w:sz w:val="22"/>
              </w:rPr>
              <w:t>Above industry ~4% growth</w:t>
            </w:r>
          </w:p>
        </w:tc>
        <w:tc>
          <w:tcPr>
            <w:tcW w:type="dxa" w:w="1234"/>
          </w:tcPr>
          <w:p>
            <w:r>
              <w:rPr>
                <w:rFonts w:ascii="Calibri" w:hAnsi="Calibri"/>
                <w:sz w:val="22"/>
              </w:rPr>
              <w:t>Tracking above target</w:t>
            </w:r>
          </w:p>
        </w:tc>
      </w:tr>
      <w:tr>
        <w:tc>
          <w:tcPr>
            <w:tcW w:type="dxa" w:w="1234"/>
          </w:tcPr>
          <w:p>
            <w:r>
              <w:rPr>
                <w:rFonts w:ascii="Calibri" w:hAnsi="Calibri"/>
                <w:sz w:val="22"/>
              </w:rPr>
              <w:t>Net Investment Income</w:t>
            </w:r>
          </w:p>
        </w:tc>
        <w:tc>
          <w:tcPr>
            <w:tcW w:type="dxa" w:w="1234"/>
          </w:tcPr>
          <w:p>
            <w:r>
              <w:rPr>
                <w:rFonts w:ascii="Calibri" w:hAnsi="Calibri"/>
                <w:sz w:val="22"/>
              </w:rPr>
              <w:t>$318M</w:t>
            </w:r>
          </w:p>
        </w:tc>
        <w:tc>
          <w:tcPr>
            <w:tcW w:type="dxa" w:w="1234"/>
          </w:tcPr>
          <w:p>
            <w:r>
              <w:rPr>
                <w:rFonts w:ascii="Calibri" w:hAnsi="Calibri"/>
                <w:sz w:val="22"/>
              </w:rPr>
              <w:t>$285M</w:t>
            </w:r>
          </w:p>
        </w:tc>
        <w:tc>
          <w:tcPr>
            <w:tcW w:type="dxa" w:w="1234"/>
          </w:tcPr>
          <w:p>
            <w:r>
              <w:rPr>
                <w:rFonts w:ascii="Calibri" w:hAnsi="Calibri"/>
                <w:sz w:val="22"/>
              </w:rPr>
              <w:t>$315M</w:t>
            </w:r>
          </w:p>
        </w:tc>
        <w:tc>
          <w:tcPr>
            <w:tcW w:type="dxa" w:w="1234"/>
          </w:tcPr>
          <w:p>
            <w:r>
              <w:rPr>
                <w:rFonts w:ascii="Calibri" w:hAnsi="Calibri"/>
                <w:sz w:val="22"/>
              </w:rPr>
              <w:t>+10.5%</w:t>
            </w:r>
          </w:p>
        </w:tc>
        <w:tc>
          <w:tcPr>
            <w:tcW w:type="dxa" w:w="1234"/>
          </w:tcPr>
          <w:p>
            <w:r>
              <w:rPr>
                <w:rFonts w:ascii="Calibri" w:hAnsi="Calibri"/>
                <w:sz w:val="22"/>
              </w:rPr>
              <w:t>Continued growth; 11.7% 5-yr CAGR target</w:t>
            </w:r>
          </w:p>
        </w:tc>
        <w:tc>
          <w:tcPr>
            <w:tcW w:type="dxa" w:w="1234"/>
          </w:tcPr>
          <w:p>
            <w:r>
              <w:rPr>
                <w:rFonts w:ascii="Calibri" w:hAnsi="Calibri"/>
                <w:sz w:val="22"/>
              </w:rPr>
              <w:t>Tracking near target</w:t>
            </w:r>
          </w:p>
        </w:tc>
      </w:tr>
      <w:tr>
        <w:tc>
          <w:tcPr>
            <w:tcW w:type="dxa" w:w="1234"/>
          </w:tcPr>
          <w:p>
            <w:r>
              <w:rPr>
                <w:rFonts w:ascii="Calibri" w:hAnsi="Calibri"/>
                <w:sz w:val="22"/>
              </w:rPr>
              <w:t>Book Value Per Share</w:t>
            </w:r>
          </w:p>
        </w:tc>
        <w:tc>
          <w:tcPr>
            <w:tcW w:type="dxa" w:w="1234"/>
          </w:tcPr>
          <w:p>
            <w:r>
              <w:rPr>
                <w:rFonts w:ascii="Calibri" w:hAnsi="Calibri"/>
                <w:sz w:val="22"/>
              </w:rPr>
              <w:t>$101.60</w:t>
            </w:r>
          </w:p>
        </w:tc>
        <w:tc>
          <w:tcPr>
            <w:tcW w:type="dxa" w:w="1234"/>
          </w:tcPr>
          <w:p>
            <w:r>
              <w:rPr>
                <w:rFonts w:ascii="Calibri" w:hAnsi="Calibri"/>
                <w:sz w:val="22"/>
              </w:rPr>
              <w:t>$91.46</w:t>
            </w:r>
          </w:p>
        </w:tc>
        <w:tc>
          <w:tcPr>
            <w:tcW w:type="dxa" w:w="1234"/>
          </w:tcPr>
          <w:p>
            <w:r>
              <w:rPr>
                <w:rFonts w:ascii="Calibri" w:hAnsi="Calibri"/>
                <w:sz w:val="22"/>
              </w:rPr>
              <w:t>$103.53</w:t>
            </w:r>
          </w:p>
        </w:tc>
        <w:tc>
          <w:tcPr>
            <w:tcW w:type="dxa" w:w="1234"/>
          </w:tcPr>
          <w:p>
            <w:r>
              <w:rPr>
                <w:rFonts w:ascii="Calibri" w:hAnsi="Calibri"/>
                <w:sz w:val="22"/>
              </w:rPr>
              <w:t>+13.2%</w:t>
            </w:r>
          </w:p>
        </w:tc>
        <w:tc>
          <w:tcPr>
            <w:tcW w:type="dxa" w:w="1234"/>
          </w:tcPr>
          <w:p>
            <w:r>
              <w:rPr>
                <w:rFonts w:ascii="Calibri" w:hAnsi="Calibri"/>
                <w:sz w:val="22"/>
              </w:rPr>
              <w:t>No explicit guidance</w:t>
            </w:r>
          </w:p>
        </w:tc>
        <w:tc>
          <w:tcPr>
            <w:tcW w:type="dxa" w:w="1234"/>
          </w:tcPr>
          <w:p>
            <w:r>
              <w:rPr>
                <w:rFonts w:ascii="Calibri" w:hAnsi="Calibri"/>
                <w:sz w:val="22"/>
              </w:rPr>
              <w:t>N/A</w:t>
            </w:r>
          </w:p>
        </w:tc>
      </w:tr>
    </w:tbl>
    <w:p>
      <w:r>
        <w:rPr>
          <w:rFonts w:ascii="Calibri" w:hAnsi="Calibri"/>
          <w:i/>
          <w:color w:val="525866"/>
          <w:sz w:val="22"/>
        </w:rPr>
        <w:t>Sources: Visible Alpha Consensus and Actuals Data. Q2 2026 consensus as of July 26, 2026. Q1 2026 actuals and Q2 2025 actuals from Visible Alpha reported figures. Long-term combined ratio target and investment income growth target from CINF Q1 2026 earnings call (April 28, 2026) and May 2026 Investor Handout.</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Operating EPS (Diluted)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$2.10</w:t>
            </w:r>
          </w:p>
        </w:tc>
        <w:tc>
          <w:tcPr>
            <w:tcW w:type="dxa" w:w="1728"/>
          </w:tcPr>
          <w:p>
            <w:r>
              <w:rPr>
                <w:rFonts w:ascii="Calibri" w:hAnsi="Calibri"/>
                <w:sz w:val="22"/>
              </w:rPr>
              <w:t>$1.95</w:t>
            </w:r>
          </w:p>
        </w:tc>
        <w:tc>
          <w:tcPr>
            <w:tcW w:type="dxa" w:w="1728"/>
          </w:tcPr>
          <w:p>
            <w:r>
              <w:rPr>
                <w:rFonts w:ascii="Calibri" w:hAnsi="Calibri"/>
                <w:b/>
                <w:color w:val="30A46C"/>
                <w:sz w:val="22"/>
              </w:rPr>
              <w:t>+7.7%</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$3.37</w:t>
            </w:r>
          </w:p>
        </w:tc>
        <w:tc>
          <w:tcPr>
            <w:tcW w:type="dxa" w:w="1728"/>
          </w:tcPr>
          <w:p>
            <w:r>
              <w:rPr>
                <w:rFonts w:ascii="Calibri" w:hAnsi="Calibri"/>
                <w:sz w:val="22"/>
              </w:rPr>
              <w:t>$2.85</w:t>
            </w:r>
          </w:p>
        </w:tc>
        <w:tc>
          <w:tcPr>
            <w:tcW w:type="dxa" w:w="1728"/>
          </w:tcPr>
          <w:p>
            <w:r>
              <w:rPr>
                <w:rFonts w:ascii="Calibri" w:hAnsi="Calibri"/>
                <w:b/>
                <w:color w:val="30A46C"/>
                <w:sz w:val="22"/>
              </w:rPr>
              <w:t>+18.2%</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$2.85</w:t>
            </w:r>
          </w:p>
        </w:tc>
        <w:tc>
          <w:tcPr>
            <w:tcW w:type="dxa" w:w="1728"/>
          </w:tcPr>
          <w:p>
            <w:r>
              <w:rPr>
                <w:rFonts w:ascii="Calibri" w:hAnsi="Calibri"/>
                <w:sz w:val="22"/>
              </w:rPr>
              <w:t>$1.99</w:t>
            </w:r>
          </w:p>
        </w:tc>
        <w:tc>
          <w:tcPr>
            <w:tcW w:type="dxa" w:w="1728"/>
          </w:tcPr>
          <w:p>
            <w:r>
              <w:rPr>
                <w:rFonts w:ascii="Calibri" w:hAnsi="Calibri"/>
                <w:b/>
                <w:color w:val="30A46C"/>
                <w:sz w:val="22"/>
              </w:rPr>
              <w:t>+43.2%</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$1.97</w:t>
            </w:r>
          </w:p>
        </w:tc>
        <w:tc>
          <w:tcPr>
            <w:tcW w:type="dxa" w:w="1728"/>
          </w:tcPr>
          <w:p>
            <w:r>
              <w:rPr>
                <w:rFonts w:ascii="Calibri" w:hAnsi="Calibri"/>
                <w:sz w:val="22"/>
              </w:rPr>
              <w:t>$1.40</w:t>
            </w:r>
          </w:p>
        </w:tc>
        <w:tc>
          <w:tcPr>
            <w:tcW w:type="dxa" w:w="1728"/>
          </w:tcPr>
          <w:p>
            <w:r>
              <w:rPr>
                <w:rFonts w:ascii="Calibri" w:hAnsi="Calibri"/>
                <w:b/>
                <w:color w:val="30A46C"/>
                <w:sz w:val="22"/>
              </w:rPr>
              <w:t>+40.7%</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-$0.24</w:t>
            </w:r>
          </w:p>
        </w:tc>
        <w:tc>
          <w:tcPr>
            <w:tcW w:type="dxa" w:w="1728"/>
          </w:tcPr>
          <w:p>
            <w:r>
              <w:rPr>
                <w:rFonts w:ascii="Calibri" w:hAnsi="Calibri"/>
                <w:sz w:val="22"/>
              </w:rPr>
              <w:t>-$0.61</w:t>
            </w:r>
          </w:p>
        </w:tc>
        <w:tc>
          <w:tcPr>
            <w:tcW w:type="dxa" w:w="1728"/>
          </w:tcPr>
          <w:p>
            <w:r>
              <w:rPr>
                <w:rFonts w:ascii="Calibri" w:hAnsi="Calibri"/>
                <w:b/>
                <w:color w:val="30A46C"/>
                <w:sz w:val="22"/>
              </w:rPr>
              <w:t>Beat (loss smaller)</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$3.14</w:t>
            </w:r>
          </w:p>
        </w:tc>
        <w:tc>
          <w:tcPr>
            <w:tcW w:type="dxa" w:w="1728"/>
          </w:tcPr>
          <w:p>
            <w:r>
              <w:rPr>
                <w:rFonts w:ascii="Calibri" w:hAnsi="Calibri"/>
                <w:sz w:val="22"/>
              </w:rPr>
              <w:t>$1.88</w:t>
            </w:r>
          </w:p>
        </w:tc>
        <w:tc>
          <w:tcPr>
            <w:tcW w:type="dxa" w:w="1728"/>
          </w:tcPr>
          <w:p>
            <w:r>
              <w:rPr>
                <w:rFonts w:ascii="Calibri" w:hAnsi="Calibri"/>
                <w:b/>
                <w:color w:val="30A46C"/>
                <w:sz w:val="22"/>
              </w:rPr>
              <w:t>+67.0%</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$1.42</w:t>
            </w:r>
          </w:p>
        </w:tc>
        <w:tc>
          <w:tcPr>
            <w:tcW w:type="dxa" w:w="1728"/>
          </w:tcPr>
          <w:p>
            <w:r>
              <w:rPr>
                <w:rFonts w:ascii="Calibri" w:hAnsi="Calibri"/>
                <w:sz w:val="22"/>
              </w:rPr>
              <w:t>$1.45</w:t>
            </w:r>
          </w:p>
        </w:tc>
        <w:tc>
          <w:tcPr>
            <w:tcW w:type="dxa" w:w="1728"/>
          </w:tcPr>
          <w:p>
            <w:r>
              <w:rPr>
                <w:rFonts w:ascii="Calibri" w:hAnsi="Calibri"/>
                <w:b/>
                <w:color w:val="E5484D"/>
                <w:sz w:val="22"/>
              </w:rPr>
              <w:t>-2.1%</w:t>
            </w:r>
          </w:p>
        </w:tc>
        <w:tc>
          <w:tcPr>
            <w:tcW w:type="dxa" w:w="1728"/>
          </w:tcPr>
          <w:p>
            <w:r>
              <w:rPr>
                <w:rFonts w:ascii="Calibri" w:hAnsi="Calibri"/>
                <w:sz w:val="22"/>
              </w:rPr>
              <w:t>Miss</w:t>
            </w:r>
          </w:p>
        </w:tc>
      </w:tr>
      <w:tr>
        <w:tc>
          <w:tcPr>
            <w:tcW w:type="dxa" w:w="1728"/>
          </w:tcPr>
          <w:p>
            <w:r>
              <w:rPr>
                <w:rFonts w:ascii="Calibri" w:hAnsi="Calibri"/>
                <w:sz w:val="22"/>
              </w:rPr>
              <w:t>Q2 2024</w:t>
            </w:r>
          </w:p>
        </w:tc>
        <w:tc>
          <w:tcPr>
            <w:tcW w:type="dxa" w:w="1728"/>
          </w:tcPr>
          <w:p>
            <w:r>
              <w:rPr>
                <w:rFonts w:ascii="Calibri" w:hAnsi="Calibri"/>
                <w:sz w:val="22"/>
              </w:rPr>
              <w:t>N/A — not in VA</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bl>
    <w:p>
      <w:pPr>
        <w:pStyle w:val="Heading4"/>
      </w:pPr>
      <w:r>
        <w:rPr>
          <w:rFonts w:ascii="Calibri" w:hAnsi="Calibri"/>
          <w:b/>
          <w:color w:val="3B4259"/>
          <w:sz w:val="22"/>
        </w:rPr>
        <w:t>P&amp;C Combined Ratio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(pts)</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95.6%</w:t>
            </w:r>
          </w:p>
        </w:tc>
        <w:tc>
          <w:tcPr>
            <w:tcW w:type="dxa" w:w="1728"/>
          </w:tcPr>
          <w:p>
            <w:r>
              <w:rPr>
                <w:rFonts w:ascii="Calibri" w:hAnsi="Calibri"/>
                <w:sz w:val="22"/>
              </w:rPr>
              <w:t>95.6%</w:t>
            </w:r>
          </w:p>
        </w:tc>
        <w:tc>
          <w:tcPr>
            <w:tcW w:type="dxa" w:w="1728"/>
          </w:tcPr>
          <w:p>
            <w:r>
              <w:rPr>
                <w:rFonts w:ascii="Calibri" w:hAnsi="Calibri"/>
                <w:sz w:val="22"/>
              </w:rPr>
              <w:t>0.0 pts (In-line)</w:t>
            </w:r>
          </w:p>
        </w:tc>
        <w:tc>
          <w:tcPr>
            <w:tcW w:type="dxa" w:w="1728"/>
          </w:tcPr>
          <w:p>
            <w:r>
              <w:rPr>
                <w:rFonts w:ascii="Calibri" w:hAnsi="Calibri"/>
                <w:sz w:val="22"/>
              </w:rPr>
              <w:t>In-line</w:t>
            </w:r>
          </w:p>
        </w:tc>
      </w:tr>
      <w:tr>
        <w:tc>
          <w:tcPr>
            <w:tcW w:type="dxa" w:w="1728"/>
          </w:tcPr>
          <w:p>
            <w:r>
              <w:rPr>
                <w:rFonts w:ascii="Calibri" w:hAnsi="Calibri"/>
                <w:sz w:val="22"/>
              </w:rPr>
              <w:t>Q4 2025</w:t>
            </w:r>
          </w:p>
        </w:tc>
        <w:tc>
          <w:tcPr>
            <w:tcW w:type="dxa" w:w="1728"/>
          </w:tcPr>
          <w:p>
            <w:r>
              <w:rPr>
                <w:rFonts w:ascii="Calibri" w:hAnsi="Calibri"/>
                <w:sz w:val="22"/>
              </w:rPr>
              <w:t>85.2%</w:t>
            </w:r>
          </w:p>
        </w:tc>
        <w:tc>
          <w:tcPr>
            <w:tcW w:type="dxa" w:w="1728"/>
          </w:tcPr>
          <w:p>
            <w:r>
              <w:rPr>
                <w:rFonts w:ascii="Calibri" w:hAnsi="Calibri"/>
                <w:sz w:val="22"/>
              </w:rPr>
              <w:t>87.8%</w:t>
            </w:r>
          </w:p>
        </w:tc>
        <w:tc>
          <w:tcPr>
            <w:tcW w:type="dxa" w:w="1728"/>
          </w:tcPr>
          <w:p>
            <w:r>
              <w:rPr>
                <w:rFonts w:ascii="Calibri" w:hAnsi="Calibri"/>
                <w:b/>
                <w:color w:val="30A46C"/>
                <w:sz w:val="22"/>
              </w:rPr>
              <w:t>-2.6 pts (Better)</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88.2%</w:t>
            </w:r>
          </w:p>
        </w:tc>
        <w:tc>
          <w:tcPr>
            <w:tcW w:type="dxa" w:w="1728"/>
          </w:tcPr>
          <w:p>
            <w:r>
              <w:rPr>
                <w:rFonts w:ascii="Calibri" w:hAnsi="Calibri"/>
                <w:sz w:val="22"/>
              </w:rPr>
              <w:t>94.3%</w:t>
            </w:r>
          </w:p>
        </w:tc>
        <w:tc>
          <w:tcPr>
            <w:tcW w:type="dxa" w:w="1728"/>
          </w:tcPr>
          <w:p>
            <w:r>
              <w:rPr>
                <w:rFonts w:ascii="Calibri" w:hAnsi="Calibri"/>
                <w:b/>
                <w:color w:val="30A46C"/>
                <w:sz w:val="22"/>
              </w:rPr>
              <w:t>-6.1 pts (Better)</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94.9%</w:t>
            </w:r>
          </w:p>
        </w:tc>
        <w:tc>
          <w:tcPr>
            <w:tcW w:type="dxa" w:w="1728"/>
          </w:tcPr>
          <w:p>
            <w:r>
              <w:rPr>
                <w:rFonts w:ascii="Calibri" w:hAnsi="Calibri"/>
                <w:sz w:val="22"/>
              </w:rPr>
              <w:t>98.9%</w:t>
            </w:r>
          </w:p>
        </w:tc>
        <w:tc>
          <w:tcPr>
            <w:tcW w:type="dxa" w:w="1728"/>
          </w:tcPr>
          <w:p>
            <w:r>
              <w:rPr>
                <w:rFonts w:ascii="Calibri" w:hAnsi="Calibri"/>
                <w:b/>
                <w:color w:val="30A46C"/>
                <w:sz w:val="22"/>
              </w:rPr>
              <w:t>-4.0 pts (Better)</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113.3%</w:t>
            </w:r>
          </w:p>
        </w:tc>
        <w:tc>
          <w:tcPr>
            <w:tcW w:type="dxa" w:w="1728"/>
          </w:tcPr>
          <w:p>
            <w:r>
              <w:rPr>
                <w:rFonts w:ascii="Calibri" w:hAnsi="Calibri"/>
                <w:sz w:val="22"/>
              </w:rPr>
              <w:t>115.6%</w:t>
            </w:r>
          </w:p>
        </w:tc>
        <w:tc>
          <w:tcPr>
            <w:tcW w:type="dxa" w:w="1728"/>
          </w:tcPr>
          <w:p>
            <w:r>
              <w:rPr>
                <w:rFonts w:ascii="Calibri" w:hAnsi="Calibri"/>
                <w:b/>
                <w:color w:val="30A46C"/>
                <w:sz w:val="22"/>
              </w:rPr>
              <w:t>-2.3 pts (Better)</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84.7%</w:t>
            </w:r>
          </w:p>
        </w:tc>
        <w:tc>
          <w:tcPr>
            <w:tcW w:type="dxa" w:w="1728"/>
          </w:tcPr>
          <w:p>
            <w:r>
              <w:rPr>
                <w:rFonts w:ascii="Calibri" w:hAnsi="Calibri"/>
                <w:sz w:val="22"/>
              </w:rPr>
              <w:t>93.8%</w:t>
            </w:r>
          </w:p>
        </w:tc>
        <w:tc>
          <w:tcPr>
            <w:tcW w:type="dxa" w:w="1728"/>
          </w:tcPr>
          <w:p>
            <w:r>
              <w:rPr>
                <w:rFonts w:ascii="Calibri" w:hAnsi="Calibri"/>
                <w:b/>
                <w:color w:val="30A46C"/>
                <w:sz w:val="22"/>
              </w:rPr>
              <w:t>-9.1 pts (Better)</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97.4%</w:t>
            </w:r>
          </w:p>
        </w:tc>
        <w:tc>
          <w:tcPr>
            <w:tcW w:type="dxa" w:w="1728"/>
          </w:tcPr>
          <w:p>
            <w:r>
              <w:rPr>
                <w:rFonts w:ascii="Calibri" w:hAnsi="Calibri"/>
                <w:sz w:val="22"/>
              </w:rPr>
              <w:t>97.0%</w:t>
            </w:r>
          </w:p>
        </w:tc>
        <w:tc>
          <w:tcPr>
            <w:tcW w:type="dxa" w:w="1728"/>
          </w:tcPr>
          <w:p>
            <w:r>
              <w:rPr>
                <w:rFonts w:ascii="Calibri" w:hAnsi="Calibri"/>
                <w:b/>
                <w:color w:val="E5484D"/>
                <w:sz w:val="22"/>
              </w:rPr>
              <w:t>+0.4 pts (Worse)</w:t>
            </w:r>
          </w:p>
        </w:tc>
        <w:tc>
          <w:tcPr>
            <w:tcW w:type="dxa" w:w="1728"/>
          </w:tcPr>
          <w:p>
            <w:r>
              <w:rPr>
                <w:rFonts w:ascii="Calibri" w:hAnsi="Calibri"/>
                <w:sz w:val="22"/>
              </w:rPr>
              <w:t>Miss</w:t>
            </w:r>
          </w:p>
        </w:tc>
      </w:tr>
      <w:tr>
        <w:tc>
          <w:tcPr>
            <w:tcW w:type="dxa" w:w="1728"/>
          </w:tcPr>
          <w:p>
            <w:r>
              <w:rPr>
                <w:rFonts w:ascii="Calibri" w:hAnsi="Calibri"/>
                <w:sz w:val="22"/>
              </w:rPr>
              <w:t>Q2 2024</w:t>
            </w:r>
          </w:p>
        </w:tc>
        <w:tc>
          <w:tcPr>
            <w:tcW w:type="dxa" w:w="1728"/>
          </w:tcPr>
          <w:p>
            <w:r>
              <w:rPr>
                <w:rFonts w:ascii="Calibri" w:hAnsi="Calibri"/>
                <w:sz w:val="22"/>
              </w:rPr>
              <w:t>N/A — not in VA</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CINF has beaten combined ratio consensus in 5 of the last 6 quarters with available data, often by a wide margin, driven by lower-than-expected catastrophe losses and favorable prior-year reserve development — the one miss (Q3 2024) was marginal. Operating EPS has beaten in 6 of 6 available quarters, with the magnitude of beats widening materially in 2025 as catastrophe losses normalized. This consistent beat pattern on the combined ratio sets a high implicit bar for Q2 2026.</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Guidance &amp; Commentary Evolution</w:t>
      </w:r>
    </w:p>
    <w:p>
      <w:r>
        <w:rPr>
          <w:rFonts w:ascii="Calibri" w:hAnsi="Calibri"/>
          <w:b/>
          <w:color w:val="525866"/>
          <w:sz w:val="22"/>
        </w:rPr>
        <w:t xml:space="preserve">Key Takeaway: </w:t>
      </w:r>
      <w:r>
        <w:rPr>
          <w:rFonts w:ascii="Calibri" w:hAnsi="Calibri"/>
          <w:color w:val="525866"/>
          <w:sz w:val="22"/>
        </w:rPr>
        <w:t>No explicit numerical guidance has been issued or revised since the Q1 2026 earnings call (April 28, 2026). Management's tone has shifted modestly more cautious on commercial lines pricing ("biased downwards") while remaining confident on investment income and reserve adequacy. The long-term combined ratio target of 92%–98% and VCR target of 10%–13% remain unchanged.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28)</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P&amp;C Combined Ratio</w:t>
            </w:r>
          </w:p>
        </w:tc>
        <w:tc>
          <w:tcPr>
            <w:tcW w:type="dxa" w:w="1728"/>
          </w:tcPr>
          <w:p>
            <w:r>
              <w:rPr>
                <w:rFonts w:ascii="Calibri" w:hAnsi="Calibri"/>
                <w:sz w:val="22"/>
              </w:rPr>
              <w:t>92%–98% long-term target; no Q2-specific guidance</w:t>
            </w:r>
          </w:p>
        </w:tc>
        <w:tc>
          <w:tcPr>
            <w:tcW w:type="dxa" w:w="1728"/>
          </w:tcPr>
          <w:p>
            <w:r>
              <w:rPr>
                <w:rFonts w:ascii="Calibri" w:hAnsi="Calibri"/>
                <w:sz w:val="22"/>
              </w:rPr>
              <w:t>—</w:t>
            </w:r>
          </w:p>
        </w:tc>
        <w:tc>
          <w:tcPr>
            <w:tcW w:type="dxa" w:w="1728"/>
          </w:tcPr>
          <w:p>
            <w:r>
              <w:rPr>
                <w:rFonts w:ascii="Calibri" w:hAnsi="Calibri"/>
                <w:sz w:val="22"/>
              </w:rPr>
              <w:t>97.3%</w:t>
            </w:r>
          </w:p>
        </w:tc>
        <w:tc>
          <w:tcPr>
            <w:tcW w:type="dxa" w:w="1728"/>
          </w:tcPr>
          <w:p>
            <w:r>
              <w:rPr>
                <w:rFonts w:ascii="Calibri" w:hAnsi="Calibri"/>
                <w:sz w:val="22"/>
              </w:rPr>
              <w:t>Unchanged; management noted pricing pressure may push ratio toward upper end of range</w:t>
            </w:r>
          </w:p>
        </w:tc>
      </w:tr>
      <w:tr>
        <w:tc>
          <w:tcPr>
            <w:tcW w:type="dxa" w:w="1728"/>
          </w:tcPr>
          <w:p>
            <w:r>
              <w:rPr>
                <w:rFonts w:ascii="Calibri" w:hAnsi="Calibri"/>
                <w:sz w:val="22"/>
              </w:rPr>
              <w:t>Commercial Lines Pricing</w:t>
            </w:r>
          </w:p>
        </w:tc>
        <w:tc>
          <w:tcPr>
            <w:tcW w:type="dxa" w:w="1728"/>
          </w:tcPr>
          <w:p>
            <w:r>
              <w:rPr>
                <w:rFonts w:ascii="Calibri" w:hAnsi="Calibri"/>
                <w:sz w:val="22"/>
              </w:rPr>
              <w:t>"Near high end of low-single-digit" range; casualty at mid-single digits</w:t>
            </w:r>
          </w:p>
        </w:tc>
        <w:tc>
          <w:tcPr>
            <w:tcW w:type="dxa" w:w="1728"/>
          </w:tcPr>
          <w:p>
            <w:r>
              <w:rPr>
                <w:rFonts w:ascii="Calibri" w:hAnsi="Calibri"/>
                <w:sz w:val="22"/>
              </w:rPr>
              <w:t>—</w:t>
            </w:r>
          </w:p>
        </w:tc>
        <w:tc>
          <w:tcPr>
            <w:tcW w:type="dxa" w:w="1728"/>
          </w:tcPr>
          <w:p>
            <w:r>
              <w:rPr>
                <w:rFonts w:ascii="Calibri" w:hAnsi="Calibri"/>
                <w:sz w:val="22"/>
              </w:rPr>
              <w:t>N/A (qualitative)</w:t>
            </w:r>
          </w:p>
        </w:tc>
        <w:tc>
          <w:tcPr>
            <w:tcW w:type="dxa" w:w="1728"/>
          </w:tcPr>
          <w:p>
            <w:r>
              <w:rPr>
                <w:rFonts w:ascii="Calibri" w:hAnsi="Calibri"/>
                <w:sz w:val="22"/>
              </w:rPr>
              <w:t>Tone cautious; pricing "biased downwards," especially for larger accounts and commercial property</w:t>
            </w:r>
          </w:p>
        </w:tc>
      </w:tr>
      <w:tr>
        <w:tc>
          <w:tcPr>
            <w:tcW w:type="dxa" w:w="1728"/>
          </w:tcPr>
          <w:p>
            <w:r>
              <w:rPr>
                <w:rFonts w:ascii="Calibri" w:hAnsi="Calibri"/>
                <w:sz w:val="22"/>
              </w:rPr>
              <w:t>Personal Lines Pricing</w:t>
            </w:r>
          </w:p>
        </w:tc>
        <w:tc>
          <w:tcPr>
            <w:tcW w:type="dxa" w:w="1728"/>
          </w:tcPr>
          <w:p>
            <w:r>
              <w:rPr>
                <w:rFonts w:ascii="Calibri" w:hAnsi="Calibri"/>
                <w:sz w:val="22"/>
              </w:rPr>
              <w:t>High-single-digit range</w:t>
            </w:r>
          </w:p>
        </w:tc>
        <w:tc>
          <w:tcPr>
            <w:tcW w:type="dxa" w:w="1728"/>
          </w:tcPr>
          <w:p>
            <w:r>
              <w:rPr>
                <w:rFonts w:ascii="Calibri" w:hAnsi="Calibri"/>
                <w:sz w:val="22"/>
              </w:rPr>
              <w:t>—</w:t>
            </w:r>
          </w:p>
        </w:tc>
        <w:tc>
          <w:tcPr>
            <w:tcW w:type="dxa" w:w="1728"/>
          </w:tcPr>
          <w:p>
            <w:r>
              <w:rPr>
                <w:rFonts w:ascii="Calibri" w:hAnsi="Calibri"/>
                <w:sz w:val="22"/>
              </w:rPr>
              <w:t>N/A (qualitative)</w:t>
            </w:r>
          </w:p>
        </w:tc>
        <w:tc>
          <w:tcPr>
            <w:tcW w:type="dxa" w:w="1728"/>
          </w:tcPr>
          <w:p>
            <w:r>
              <w:rPr>
                <w:rFonts w:ascii="Calibri" w:hAnsi="Calibri"/>
                <w:sz w:val="22"/>
              </w:rPr>
              <w:t>Unchanged; market "returning to normal" after hard market years</w:t>
            </w:r>
          </w:p>
        </w:tc>
      </w:tr>
      <w:tr>
        <w:tc>
          <w:tcPr>
            <w:tcW w:type="dxa" w:w="1728"/>
          </w:tcPr>
          <w:p>
            <w:r>
              <w:rPr>
                <w:rFonts w:ascii="Calibri" w:hAnsi="Calibri"/>
                <w:sz w:val="22"/>
              </w:rPr>
              <w:t>E&amp;S Lines Pricing</w:t>
            </w:r>
          </w:p>
        </w:tc>
        <w:tc>
          <w:tcPr>
            <w:tcW w:type="dxa" w:w="1728"/>
          </w:tcPr>
          <w:p>
            <w:r>
              <w:rPr>
                <w:rFonts w:ascii="Calibri" w:hAnsi="Calibri"/>
                <w:sz w:val="22"/>
              </w:rPr>
              <w:t>Mid-single-digit range</w:t>
            </w:r>
          </w:p>
        </w:tc>
        <w:tc>
          <w:tcPr>
            <w:tcW w:type="dxa" w:w="1728"/>
          </w:tcPr>
          <w:p>
            <w:r>
              <w:rPr>
                <w:rFonts w:ascii="Calibri" w:hAnsi="Calibri"/>
                <w:sz w:val="22"/>
              </w:rPr>
              <w:t>—</w:t>
            </w:r>
          </w:p>
        </w:tc>
        <w:tc>
          <w:tcPr>
            <w:tcW w:type="dxa" w:w="1728"/>
          </w:tcPr>
          <w:p>
            <w:r>
              <w:rPr>
                <w:rFonts w:ascii="Calibri" w:hAnsi="Calibri"/>
                <w:sz w:val="22"/>
              </w:rPr>
              <w:t>N/A (qualitative)</w:t>
            </w:r>
          </w:p>
        </w:tc>
        <w:tc>
          <w:tcPr>
            <w:tcW w:type="dxa" w:w="1728"/>
          </w:tcPr>
          <w:p>
            <w:r>
              <w:rPr>
                <w:rFonts w:ascii="Calibri" w:hAnsi="Calibri"/>
                <w:sz w:val="22"/>
              </w:rPr>
              <w:t>Unchanged; California homeowner E&amp;S rates described as "adequate"</w:t>
            </w:r>
          </w:p>
        </w:tc>
      </w:tr>
      <w:tr>
        <w:tc>
          <w:tcPr>
            <w:tcW w:type="dxa" w:w="1728"/>
          </w:tcPr>
          <w:p>
            <w:r>
              <w:rPr>
                <w:rFonts w:ascii="Calibri" w:hAnsi="Calibri"/>
                <w:sz w:val="22"/>
              </w:rPr>
              <w:t>Net Written Premium Growth</w:t>
            </w:r>
          </w:p>
        </w:tc>
        <w:tc>
          <w:tcPr>
            <w:tcW w:type="dxa" w:w="1728"/>
          </w:tcPr>
          <w:p>
            <w:r>
              <w:rPr>
                <w:rFonts w:ascii="Calibri" w:hAnsi="Calibri"/>
                <w:sz w:val="22"/>
              </w:rPr>
              <w:t>Above industry ~4% full-year projection; 7% YTD Q1</w:t>
            </w:r>
          </w:p>
        </w:tc>
        <w:tc>
          <w:tcPr>
            <w:tcW w:type="dxa" w:w="1728"/>
          </w:tcPr>
          <w:p>
            <w:r>
              <w:rPr>
                <w:rFonts w:ascii="Calibri" w:hAnsi="Calibri"/>
                <w:sz w:val="22"/>
              </w:rPr>
              <w:t>—</w:t>
            </w:r>
          </w:p>
        </w:tc>
        <w:tc>
          <w:tcPr>
            <w:tcW w:type="dxa" w:w="1728"/>
          </w:tcPr>
          <w:p>
            <w:r>
              <w:rPr>
                <w:rFonts w:ascii="Calibri" w:hAnsi="Calibri"/>
                <w:sz w:val="22"/>
              </w:rPr>
              <w:t>~$2,895M (+5.9% YoY)</w:t>
            </w:r>
          </w:p>
        </w:tc>
        <w:tc>
          <w:tcPr>
            <w:tcW w:type="dxa" w:w="1728"/>
          </w:tcPr>
          <w:p>
            <w:r>
              <w:rPr>
                <w:rFonts w:ascii="Calibri" w:hAnsi="Calibri"/>
                <w:sz w:val="22"/>
              </w:rPr>
              <w:t>Consensus tracking above industry target; growth slowing as pricing moderates</w:t>
            </w:r>
          </w:p>
        </w:tc>
      </w:tr>
      <w:tr>
        <w:tc>
          <w:tcPr>
            <w:tcW w:type="dxa" w:w="1728"/>
          </w:tcPr>
          <w:p>
            <w:r>
              <w:rPr>
                <w:rFonts w:ascii="Calibri" w:hAnsi="Calibri"/>
                <w:sz w:val="22"/>
              </w:rPr>
              <w:t>Investment Income Growth</w:t>
            </w:r>
          </w:p>
        </w:tc>
        <w:tc>
          <w:tcPr>
            <w:tcW w:type="dxa" w:w="1728"/>
          </w:tcPr>
          <w:p>
            <w:r>
              <w:rPr>
                <w:rFonts w:ascii="Calibri" w:hAnsi="Calibri"/>
                <w:sz w:val="22"/>
              </w:rPr>
              <w:t>Continued growth; Q1 +14% YoY; 5-yr CAGR target ~11.7%</w:t>
            </w:r>
          </w:p>
        </w:tc>
        <w:tc>
          <w:tcPr>
            <w:tcW w:type="dxa" w:w="1728"/>
          </w:tcPr>
          <w:p>
            <w:r>
              <w:rPr>
                <w:rFonts w:ascii="Calibri" w:hAnsi="Calibri"/>
                <w:sz w:val="22"/>
              </w:rPr>
              <w:t>—</w:t>
            </w:r>
          </w:p>
        </w:tc>
        <w:tc>
          <w:tcPr>
            <w:tcW w:type="dxa" w:w="1728"/>
          </w:tcPr>
          <w:p>
            <w:r>
              <w:rPr>
                <w:rFonts w:ascii="Calibri" w:hAnsi="Calibri"/>
                <w:sz w:val="22"/>
              </w:rPr>
              <w:t>~$315M (+10.5% YoY)</w:t>
            </w:r>
          </w:p>
        </w:tc>
        <w:tc>
          <w:tcPr>
            <w:tcW w:type="dxa" w:w="1728"/>
          </w:tcPr>
          <w:p>
            <w:r>
              <w:rPr>
                <w:rFonts w:ascii="Calibri" w:hAnsi="Calibri"/>
                <w:sz w:val="22"/>
              </w:rPr>
              <w:t>Structural tailwind from reinvestment at 5.37% vs. portfolio yield of ~5.0%; consensus slightly below Q1 pace</w:t>
            </w:r>
          </w:p>
        </w:tc>
      </w:tr>
      <w:tr>
        <w:tc>
          <w:tcPr>
            <w:tcW w:type="dxa" w:w="1728"/>
          </w:tcPr>
          <w:p>
            <w:r>
              <w:rPr>
                <w:rFonts w:ascii="Calibri" w:hAnsi="Calibri"/>
                <w:sz w:val="22"/>
              </w:rPr>
              <w:t>Value Creation Ratio (VCR)</w:t>
            </w:r>
          </w:p>
        </w:tc>
        <w:tc>
          <w:tcPr>
            <w:tcW w:type="dxa" w:w="1728"/>
          </w:tcPr>
          <w:p>
            <w:r>
              <w:rPr>
                <w:rFonts w:ascii="Calibri" w:hAnsi="Calibri"/>
                <w:sz w:val="22"/>
              </w:rPr>
              <w:t>10%–13% annual average over 5-year period</w:t>
            </w:r>
          </w:p>
        </w:tc>
        <w:tc>
          <w:tcPr>
            <w:tcW w:type="dxa" w:w="1728"/>
          </w:tcPr>
          <w:p>
            <w:r>
              <w:rPr>
                <w:rFonts w:ascii="Calibri" w:hAnsi="Calibri"/>
                <w:sz w:val="22"/>
              </w:rPr>
              <w:t>—</w:t>
            </w:r>
          </w:p>
        </w:tc>
        <w:tc>
          <w:tcPr>
            <w:tcW w:type="dxa" w:w="1728"/>
          </w:tcPr>
          <w:p>
            <w:r>
              <w:rPr>
                <w:rFonts w:ascii="Calibri" w:hAnsi="Calibri"/>
                <w:sz w:val="22"/>
              </w:rPr>
              <w:t>N/A (annual metric)</w:t>
            </w:r>
          </w:p>
        </w:tc>
        <w:tc>
          <w:tcPr>
            <w:tcW w:type="dxa" w:w="1728"/>
          </w:tcPr>
          <w:p>
            <w:r>
              <w:rPr>
                <w:rFonts w:ascii="Calibri" w:hAnsi="Calibri"/>
                <w:sz w:val="22"/>
              </w:rPr>
              <w:t>Q1 VCR was only 0.2% due to investment portfolio valuation headwinds; full-year trajectory depends on equity market performance</w:t>
            </w:r>
          </w:p>
        </w:tc>
      </w:tr>
      <w:tr>
        <w:tc>
          <w:tcPr>
            <w:tcW w:type="dxa" w:w="1728"/>
          </w:tcPr>
          <w:p>
            <w:r>
              <w:rPr>
                <w:rFonts w:ascii="Calibri" w:hAnsi="Calibri"/>
                <w:sz w:val="22"/>
              </w:rPr>
              <w:t>Share Repurchases</w:t>
            </w:r>
          </w:p>
        </w:tc>
        <w:tc>
          <w:tcPr>
            <w:tcW w:type="dxa" w:w="1728"/>
          </w:tcPr>
          <w:p>
            <w:r>
              <w:rPr>
                <w:rFonts w:ascii="Calibri" w:hAnsi="Calibri"/>
                <w:sz w:val="22"/>
              </w:rPr>
              <w:t>"Maintenance plus" in Q1; flexible for remainder of year</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No change; management indicated flexibility based on valuation and growth opportunities</w:t>
            </w:r>
          </w:p>
        </w:tc>
      </w:tr>
    </w:tbl>
    <w:p>
      <w:r>
        <w:rPr>
          <w:rFonts w:ascii="Calibri" w:hAnsi="Calibri"/>
          <w:i/>
          <w:color w:val="525866"/>
          <w:sz w:val="22"/>
        </w:rPr>
        <w:t>Source: CINF Q1 2026 Earnings Call Transcript (April 28, 2026); CINF May 2026 Investor Handout (8-K EX-99.1, filed May 19, 2026); CINF Q1 2026 Earnings Release (April 27, 2026). Visible Alpha Consensus and Actuals Data for current consensus figures.</w:t>
      </w:r>
    </w:p>
    <w:p>
      <w:r>
        <w:br w:type="page"/>
      </w:r>
    </w:p>
    <w:p>
      <w:pPr>
        <w:pStyle w:val="Heading2"/>
      </w:pPr>
      <w:r>
        <w:rPr>
          <w:rFonts w:ascii="Calibri" w:hAnsi="Calibri"/>
          <w:b/>
          <w:color w:val="3B4259"/>
          <w:sz w:val="28"/>
        </w:rPr>
        <w:t>Guidance vs. Estimate Revision Tracker</w:t>
      </w:r>
    </w:p>
    <w:p>
      <w:r>
        <w:rPr>
          <w:rFonts w:ascii="Calibri" w:hAnsi="Calibri"/>
          <w:b/>
          <w:color w:val="525866"/>
          <w:sz w:val="22"/>
        </w:rPr>
        <w:t xml:space="preserve">Key Takeaway: </w:t>
      </w:r>
      <w:r>
        <w:rPr>
          <w:rFonts w:ascii="Calibri" w:hAnsi="Calibri"/>
          <w:color w:val="525866"/>
          <w:sz w:val="22"/>
        </w:rPr>
        <w:t>Estimates for Q2 2026 have drifted modestly higher since the Q1 print — operating EPS up ~4.4% and combined ratio improved ~0.6 pts — suggesting the street has incrementally gained confidence in the setup. Full-year 2026 estimates are also slightly higher, tracking broadly in line with management's qualitative guidance. The gap between consensus and guidance is not a risk or a cushion in the traditional sense, as CINF provides no explicit quarterly numerical guidance; the relevant comparison is consensus vs. the long-term target range.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 ~5 Days Post Q1 Earnings (May 4, 2026)</w:t>
            </w:r>
          </w:p>
        </w:tc>
        <w:tc>
          <w:tcPr>
            <w:tcW w:type="dxa" w:w="1080"/>
            <w:shd w:val="clear" w:color="auto" w:fill="3B4259"/>
          </w:tcPr>
          <w:p>
            <w:r>
              <w:rPr>
                <w:rFonts w:ascii="Calibri" w:hAnsi="Calibri"/>
                <w:b/>
                <w:color w:val="FFFFFF"/>
                <w:sz w:val="22"/>
              </w:rPr>
              <w:t>Current Consensus (Jul 26,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w:t>
            </w:r>
          </w:p>
        </w:tc>
      </w:tr>
      <w:tr>
        <w:tc>
          <w:tcPr>
            <w:tcW w:type="dxa" w:w="1080"/>
          </w:tcPr>
          <w:p>
            <w:r>
              <w:rPr>
                <w:rFonts w:ascii="Calibri" w:hAnsi="Calibri"/>
                <w:sz w:val="22"/>
              </w:rPr>
              <w:t>Operating EPS — Q2 2026</w:t>
            </w:r>
          </w:p>
        </w:tc>
        <w:tc>
          <w:tcPr>
            <w:tcW w:type="dxa" w:w="1080"/>
          </w:tcPr>
          <w:p>
            <w:r>
              <w:rPr>
                <w:rFonts w:ascii="Calibri" w:hAnsi="Calibri"/>
                <w:sz w:val="22"/>
              </w:rPr>
              <w:t>$1.74</w:t>
            </w:r>
          </w:p>
        </w:tc>
        <w:tc>
          <w:tcPr>
            <w:tcW w:type="dxa" w:w="1080"/>
          </w:tcPr>
          <w:p>
            <w:r>
              <w:rPr>
                <w:rFonts w:ascii="Calibri" w:hAnsi="Calibri"/>
                <w:sz w:val="22"/>
              </w:rPr>
              <w:t>$1.82</w:t>
            </w:r>
          </w:p>
        </w:tc>
        <w:tc>
          <w:tcPr>
            <w:tcW w:type="dxa" w:w="1080"/>
          </w:tcPr>
          <w:p>
            <w:r>
              <w:rPr>
                <w:rFonts w:ascii="Calibri" w:hAnsi="Calibri"/>
                <w:b/>
                <w:color w:val="30A46C"/>
                <w:sz w:val="22"/>
              </w:rPr>
              <w:t>+4.4%</w:t>
            </w:r>
          </w:p>
        </w:tc>
        <w:tc>
          <w:tcPr>
            <w:tcW w:type="dxa" w:w="1080"/>
          </w:tcPr>
          <w:p>
            <w:r>
              <w:rPr>
                <w:rFonts w:ascii="Calibri" w:hAnsi="Calibri"/>
                <w:sz w:val="22"/>
              </w:rPr>
              <w:t>No explicit guidance</w:t>
            </w:r>
          </w:p>
        </w:tc>
        <w:tc>
          <w:tcPr>
            <w:tcW w:type="dxa" w:w="1080"/>
          </w:tcPr>
          <w:p>
            <w:r>
              <w:rPr>
                <w:rFonts w:ascii="Calibri" w:hAnsi="Calibri"/>
                <w:sz w:val="22"/>
              </w:rPr>
              <w:t>No explicit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EPS — FY 2026</w:t>
            </w:r>
          </w:p>
        </w:tc>
        <w:tc>
          <w:tcPr>
            <w:tcW w:type="dxa" w:w="1080"/>
          </w:tcPr>
          <w:p>
            <w:r>
              <w:rPr>
                <w:rFonts w:ascii="Calibri" w:hAnsi="Calibri"/>
                <w:sz w:val="22"/>
              </w:rPr>
              <w:t>$8.79</w:t>
            </w:r>
          </w:p>
        </w:tc>
        <w:tc>
          <w:tcPr>
            <w:tcW w:type="dxa" w:w="1080"/>
          </w:tcPr>
          <w:p>
            <w:r>
              <w:rPr>
                <w:rFonts w:ascii="Calibri" w:hAnsi="Calibri"/>
                <w:sz w:val="22"/>
              </w:rPr>
              <w:t>$8.86</w:t>
            </w:r>
          </w:p>
        </w:tc>
        <w:tc>
          <w:tcPr>
            <w:tcW w:type="dxa" w:w="1080"/>
          </w:tcPr>
          <w:p>
            <w:r>
              <w:rPr>
                <w:rFonts w:ascii="Calibri" w:hAnsi="Calibri"/>
                <w:b/>
                <w:color w:val="30A46C"/>
                <w:sz w:val="22"/>
              </w:rPr>
              <w:t>+0.8%</w:t>
            </w:r>
          </w:p>
        </w:tc>
        <w:tc>
          <w:tcPr>
            <w:tcW w:type="dxa" w:w="1080"/>
          </w:tcPr>
          <w:p>
            <w:r>
              <w:rPr>
                <w:rFonts w:ascii="Calibri" w:hAnsi="Calibri"/>
                <w:sz w:val="22"/>
              </w:rPr>
              <w:t>No explicit guidance</w:t>
            </w:r>
          </w:p>
        </w:tc>
        <w:tc>
          <w:tcPr>
            <w:tcW w:type="dxa" w:w="1080"/>
          </w:tcPr>
          <w:p>
            <w:r>
              <w:rPr>
                <w:rFonts w:ascii="Calibri" w:hAnsi="Calibri"/>
                <w:sz w:val="22"/>
              </w:rPr>
              <w:t>No explicit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P&amp;C Combined Ratio — Q2 2026</w:t>
            </w:r>
          </w:p>
        </w:tc>
        <w:tc>
          <w:tcPr>
            <w:tcW w:type="dxa" w:w="1080"/>
          </w:tcPr>
          <w:p>
            <w:r>
              <w:rPr>
                <w:rFonts w:ascii="Calibri" w:hAnsi="Calibri"/>
                <w:sz w:val="22"/>
              </w:rPr>
              <w:t>97.9%</w:t>
            </w:r>
          </w:p>
        </w:tc>
        <w:tc>
          <w:tcPr>
            <w:tcW w:type="dxa" w:w="1080"/>
          </w:tcPr>
          <w:p>
            <w:r>
              <w:rPr>
                <w:rFonts w:ascii="Calibri" w:hAnsi="Calibri"/>
                <w:sz w:val="22"/>
              </w:rPr>
              <w:t>97.3%</w:t>
            </w:r>
          </w:p>
        </w:tc>
        <w:tc>
          <w:tcPr>
            <w:tcW w:type="dxa" w:w="1080"/>
          </w:tcPr>
          <w:p>
            <w:r>
              <w:rPr>
                <w:rFonts w:ascii="Calibri" w:hAnsi="Calibri"/>
                <w:b/>
                <w:color w:val="30A46C"/>
                <w:sz w:val="22"/>
              </w:rPr>
              <w:t>-0.6 pts (Better)</w:t>
            </w:r>
          </w:p>
        </w:tc>
        <w:tc>
          <w:tcPr>
            <w:tcW w:type="dxa" w:w="1080"/>
          </w:tcPr>
          <w:p>
            <w:r>
              <w:rPr>
                <w:rFonts w:ascii="Calibri" w:hAnsi="Calibri"/>
                <w:sz w:val="22"/>
              </w:rPr>
              <w:t>92%–98% LT range</w:t>
            </w:r>
          </w:p>
        </w:tc>
        <w:tc>
          <w:tcPr>
            <w:tcW w:type="dxa" w:w="1080"/>
          </w:tcPr>
          <w:p>
            <w:r>
              <w:rPr>
                <w:rFonts w:ascii="Calibri" w:hAnsi="Calibri"/>
                <w:sz w:val="22"/>
              </w:rPr>
              <w:t>92%–98% LT range (unchanged)</w:t>
            </w:r>
          </w:p>
        </w:tc>
        <w:tc>
          <w:tcPr>
            <w:tcW w:type="dxa" w:w="1080"/>
          </w:tcPr>
          <w:p>
            <w:r>
              <w:rPr>
                <w:rFonts w:ascii="Calibri" w:hAnsi="Calibri"/>
                <w:sz w:val="22"/>
              </w:rPr>
              <w:t>No change</w:t>
            </w:r>
          </w:p>
        </w:tc>
        <w:tc>
          <w:tcPr>
            <w:tcW w:type="dxa" w:w="1080"/>
          </w:tcPr>
          <w:p>
            <w:r>
              <w:rPr>
                <w:rFonts w:ascii="Calibri" w:hAnsi="Calibri"/>
                <w:sz w:val="22"/>
              </w:rPr>
              <w:t>Within range</w:t>
            </w:r>
          </w:p>
        </w:tc>
      </w:tr>
      <w:tr>
        <w:tc>
          <w:tcPr>
            <w:tcW w:type="dxa" w:w="1080"/>
          </w:tcPr>
          <w:p>
            <w:r>
              <w:rPr>
                <w:rFonts w:ascii="Calibri" w:hAnsi="Calibri"/>
                <w:sz w:val="22"/>
              </w:rPr>
              <w:t>P&amp;C Combined Ratio — FY 2026</w:t>
            </w:r>
          </w:p>
        </w:tc>
        <w:tc>
          <w:tcPr>
            <w:tcW w:type="dxa" w:w="1080"/>
          </w:tcPr>
          <w:p>
            <w:r>
              <w:rPr>
                <w:rFonts w:ascii="Calibri" w:hAnsi="Calibri"/>
                <w:sz w:val="22"/>
              </w:rPr>
              <w:t>94.8%</w:t>
            </w:r>
          </w:p>
        </w:tc>
        <w:tc>
          <w:tcPr>
            <w:tcW w:type="dxa" w:w="1080"/>
          </w:tcPr>
          <w:p>
            <w:r>
              <w:rPr>
                <w:rFonts w:ascii="Calibri" w:hAnsi="Calibri"/>
                <w:sz w:val="22"/>
              </w:rPr>
              <w:t>94.6%</w:t>
            </w:r>
          </w:p>
        </w:tc>
        <w:tc>
          <w:tcPr>
            <w:tcW w:type="dxa" w:w="1080"/>
          </w:tcPr>
          <w:p>
            <w:r>
              <w:rPr>
                <w:rFonts w:ascii="Calibri" w:hAnsi="Calibri"/>
                <w:b/>
                <w:color w:val="30A46C"/>
                <w:sz w:val="22"/>
              </w:rPr>
              <w:t>-0.2 pts (Better)</w:t>
            </w:r>
          </w:p>
        </w:tc>
        <w:tc>
          <w:tcPr>
            <w:tcW w:type="dxa" w:w="1080"/>
          </w:tcPr>
          <w:p>
            <w:r>
              <w:rPr>
                <w:rFonts w:ascii="Calibri" w:hAnsi="Calibri"/>
                <w:sz w:val="22"/>
              </w:rPr>
              <w:t>92%–98% LT range</w:t>
            </w:r>
          </w:p>
        </w:tc>
        <w:tc>
          <w:tcPr>
            <w:tcW w:type="dxa" w:w="1080"/>
          </w:tcPr>
          <w:p>
            <w:r>
              <w:rPr>
                <w:rFonts w:ascii="Calibri" w:hAnsi="Calibri"/>
                <w:sz w:val="22"/>
              </w:rPr>
              <w:t>92%–98% LT range (unchanged)</w:t>
            </w:r>
          </w:p>
        </w:tc>
        <w:tc>
          <w:tcPr>
            <w:tcW w:type="dxa" w:w="1080"/>
          </w:tcPr>
          <w:p>
            <w:r>
              <w:rPr>
                <w:rFonts w:ascii="Calibri" w:hAnsi="Calibri"/>
                <w:sz w:val="22"/>
              </w:rPr>
              <w:t>No change</w:t>
            </w:r>
          </w:p>
        </w:tc>
        <w:tc>
          <w:tcPr>
            <w:tcW w:type="dxa" w:w="1080"/>
          </w:tcPr>
          <w:p>
            <w:r>
              <w:rPr>
                <w:rFonts w:ascii="Calibri" w:hAnsi="Calibri"/>
                <w:sz w:val="22"/>
              </w:rPr>
              <w:t>Within range</w:t>
            </w:r>
          </w:p>
        </w:tc>
      </w:tr>
      <w:tr>
        <w:tc>
          <w:tcPr>
            <w:tcW w:type="dxa" w:w="1080"/>
          </w:tcPr>
          <w:p>
            <w:r>
              <w:rPr>
                <w:rFonts w:ascii="Calibri" w:hAnsi="Calibri"/>
                <w:sz w:val="22"/>
              </w:rPr>
              <w:t>Net Written Premium — Q2 2026</w:t>
            </w:r>
          </w:p>
        </w:tc>
        <w:tc>
          <w:tcPr>
            <w:tcW w:type="dxa" w:w="1080"/>
          </w:tcPr>
          <w:p>
            <w:r>
              <w:rPr>
                <w:rFonts w:ascii="Calibri" w:hAnsi="Calibri"/>
                <w:sz w:val="22"/>
              </w:rPr>
              <w:t>$2,903M</w:t>
            </w:r>
          </w:p>
        </w:tc>
        <w:tc>
          <w:tcPr>
            <w:tcW w:type="dxa" w:w="1080"/>
          </w:tcPr>
          <w:p>
            <w:r>
              <w:rPr>
                <w:rFonts w:ascii="Calibri" w:hAnsi="Calibri"/>
                <w:sz w:val="22"/>
              </w:rPr>
              <w:t>$2,895M</w:t>
            </w:r>
          </w:p>
        </w:tc>
        <w:tc>
          <w:tcPr>
            <w:tcW w:type="dxa" w:w="1080"/>
          </w:tcPr>
          <w:p>
            <w:r>
              <w:rPr>
                <w:rFonts w:ascii="Calibri" w:hAnsi="Calibri"/>
                <w:b/>
                <w:color w:val="E5484D"/>
                <w:sz w:val="22"/>
              </w:rPr>
              <w:t>-0.3%</w:t>
            </w:r>
          </w:p>
        </w:tc>
        <w:tc>
          <w:tcPr>
            <w:tcW w:type="dxa" w:w="1080"/>
          </w:tcPr>
          <w:p>
            <w:r>
              <w:rPr>
                <w:rFonts w:ascii="Calibri" w:hAnsi="Calibri"/>
                <w:sz w:val="22"/>
              </w:rPr>
              <w:t>Above industry ~4% growth</w:t>
            </w:r>
          </w:p>
        </w:tc>
        <w:tc>
          <w:tcPr>
            <w:tcW w:type="dxa" w:w="1080"/>
          </w:tcPr>
          <w:p>
            <w:r>
              <w:rPr>
                <w:rFonts w:ascii="Calibri" w:hAnsi="Calibri"/>
                <w:sz w:val="22"/>
              </w:rPr>
              <w:t>Above industry ~4% growth (unchanged)</w:t>
            </w:r>
          </w:p>
        </w:tc>
        <w:tc>
          <w:tcPr>
            <w:tcW w:type="dxa" w:w="1080"/>
          </w:tcPr>
          <w:p>
            <w:r>
              <w:rPr>
                <w:rFonts w:ascii="Calibri" w:hAnsi="Calibri"/>
                <w:sz w:val="22"/>
              </w:rPr>
              <w:t>No change</w:t>
            </w:r>
          </w:p>
        </w:tc>
        <w:tc>
          <w:tcPr>
            <w:tcW w:type="dxa" w:w="1080"/>
          </w:tcPr>
          <w:p>
            <w:r>
              <w:rPr>
                <w:rFonts w:ascii="Calibri" w:hAnsi="Calibri"/>
                <w:sz w:val="22"/>
              </w:rPr>
              <w:t>Tracking above target</w:t>
            </w:r>
          </w:p>
        </w:tc>
      </w:tr>
      <w:tr>
        <w:tc>
          <w:tcPr>
            <w:tcW w:type="dxa" w:w="1080"/>
          </w:tcPr>
          <w:p>
            <w:r>
              <w:rPr>
                <w:rFonts w:ascii="Calibri" w:hAnsi="Calibri"/>
                <w:sz w:val="22"/>
              </w:rPr>
              <w:t>Net Written Premium — FY 2026</w:t>
            </w:r>
          </w:p>
        </w:tc>
        <w:tc>
          <w:tcPr>
            <w:tcW w:type="dxa" w:w="1080"/>
          </w:tcPr>
          <w:p>
            <w:r>
              <w:rPr>
                <w:rFonts w:ascii="Calibri" w:hAnsi="Calibri"/>
                <w:sz w:val="22"/>
              </w:rPr>
              <w:t>$10,725M</w:t>
            </w:r>
          </w:p>
        </w:tc>
        <w:tc>
          <w:tcPr>
            <w:tcW w:type="dxa" w:w="1080"/>
          </w:tcPr>
          <w:p>
            <w:r>
              <w:rPr>
                <w:rFonts w:ascii="Calibri" w:hAnsi="Calibri"/>
                <w:sz w:val="22"/>
              </w:rPr>
              <w:t>$10,702M</w:t>
            </w:r>
          </w:p>
        </w:tc>
        <w:tc>
          <w:tcPr>
            <w:tcW w:type="dxa" w:w="1080"/>
          </w:tcPr>
          <w:p>
            <w:r>
              <w:rPr>
                <w:rFonts w:ascii="Calibri" w:hAnsi="Calibri"/>
                <w:b/>
                <w:color w:val="E5484D"/>
                <w:sz w:val="22"/>
              </w:rPr>
              <w:t>-0.2%</w:t>
            </w:r>
          </w:p>
        </w:tc>
        <w:tc>
          <w:tcPr>
            <w:tcW w:type="dxa" w:w="1080"/>
          </w:tcPr>
          <w:p>
            <w:r>
              <w:rPr>
                <w:rFonts w:ascii="Calibri" w:hAnsi="Calibri"/>
                <w:sz w:val="22"/>
              </w:rPr>
              <w:t>Above industry ~4% growth</w:t>
            </w:r>
          </w:p>
        </w:tc>
        <w:tc>
          <w:tcPr>
            <w:tcW w:type="dxa" w:w="1080"/>
          </w:tcPr>
          <w:p>
            <w:r>
              <w:rPr>
                <w:rFonts w:ascii="Calibri" w:hAnsi="Calibri"/>
                <w:sz w:val="22"/>
              </w:rPr>
              <w:t>Above industry ~4% growth (unchanged)</w:t>
            </w:r>
          </w:p>
        </w:tc>
        <w:tc>
          <w:tcPr>
            <w:tcW w:type="dxa" w:w="1080"/>
          </w:tcPr>
          <w:p>
            <w:r>
              <w:rPr>
                <w:rFonts w:ascii="Calibri" w:hAnsi="Calibri"/>
                <w:sz w:val="22"/>
              </w:rPr>
              <w:t>No change</w:t>
            </w:r>
          </w:p>
        </w:tc>
        <w:tc>
          <w:tcPr>
            <w:tcW w:type="dxa" w:w="1080"/>
          </w:tcPr>
          <w:p>
            <w:r>
              <w:rPr>
                <w:rFonts w:ascii="Calibri" w:hAnsi="Calibri"/>
                <w:sz w:val="22"/>
              </w:rPr>
              <w:t>Tracking above target</w:t>
            </w:r>
          </w:p>
        </w:tc>
      </w:tr>
      <w:tr>
        <w:tc>
          <w:tcPr>
            <w:tcW w:type="dxa" w:w="1080"/>
          </w:tcPr>
          <w:p>
            <w:r>
              <w:rPr>
                <w:rFonts w:ascii="Calibri" w:hAnsi="Calibri"/>
                <w:sz w:val="22"/>
              </w:rPr>
              <w:t>Net Investment Income — Q2 2026</w:t>
            </w:r>
          </w:p>
        </w:tc>
        <w:tc>
          <w:tcPr>
            <w:tcW w:type="dxa" w:w="1080"/>
          </w:tcPr>
          <w:p>
            <w:r>
              <w:rPr>
                <w:rFonts w:ascii="Calibri" w:hAnsi="Calibri"/>
                <w:sz w:val="22"/>
              </w:rPr>
              <w:t>$317M</w:t>
            </w:r>
          </w:p>
        </w:tc>
        <w:tc>
          <w:tcPr>
            <w:tcW w:type="dxa" w:w="1080"/>
          </w:tcPr>
          <w:p>
            <w:r>
              <w:rPr>
                <w:rFonts w:ascii="Calibri" w:hAnsi="Calibri"/>
                <w:sz w:val="22"/>
              </w:rPr>
              <w:t>$315M</w:t>
            </w:r>
          </w:p>
        </w:tc>
        <w:tc>
          <w:tcPr>
            <w:tcW w:type="dxa" w:w="1080"/>
          </w:tcPr>
          <w:p>
            <w:r>
              <w:rPr>
                <w:rFonts w:ascii="Calibri" w:hAnsi="Calibri"/>
                <w:sz w:val="22"/>
              </w:rPr>
              <w:t>-0.6%</w:t>
            </w:r>
          </w:p>
        </w:tc>
        <w:tc>
          <w:tcPr>
            <w:tcW w:type="dxa" w:w="1080"/>
          </w:tcPr>
          <w:p>
            <w:r>
              <w:rPr>
                <w:rFonts w:ascii="Calibri" w:hAnsi="Calibri"/>
                <w:sz w:val="22"/>
              </w:rPr>
              <w:t>Continued growth; 5-yr CAGR ~11.7%</w:t>
            </w:r>
          </w:p>
        </w:tc>
        <w:tc>
          <w:tcPr>
            <w:tcW w:type="dxa" w:w="1080"/>
          </w:tcPr>
          <w:p>
            <w:r>
              <w:rPr>
                <w:rFonts w:ascii="Calibri" w:hAnsi="Calibri"/>
                <w:sz w:val="22"/>
              </w:rPr>
              <w:t>Unchanged</w:t>
            </w:r>
          </w:p>
        </w:tc>
        <w:tc>
          <w:tcPr>
            <w:tcW w:type="dxa" w:w="1080"/>
          </w:tcPr>
          <w:p>
            <w:r>
              <w:rPr>
                <w:rFonts w:ascii="Calibri" w:hAnsi="Calibri"/>
                <w:sz w:val="22"/>
              </w:rPr>
              <w:t>No change</w:t>
            </w:r>
          </w:p>
        </w:tc>
        <w:tc>
          <w:tcPr>
            <w:tcW w:type="dxa" w:w="1080"/>
          </w:tcPr>
          <w:p>
            <w:r>
              <w:rPr>
                <w:rFonts w:ascii="Calibri" w:hAnsi="Calibri"/>
                <w:sz w:val="22"/>
              </w:rPr>
              <w:t>Tracking near target</w:t>
            </w:r>
          </w:p>
        </w:tc>
      </w:tr>
      <w:tr>
        <w:tc>
          <w:tcPr>
            <w:tcW w:type="dxa" w:w="1080"/>
          </w:tcPr>
          <w:p>
            <w:r>
              <w:rPr>
                <w:rFonts w:ascii="Calibri" w:hAnsi="Calibri"/>
                <w:sz w:val="22"/>
              </w:rPr>
              <w:t>Net Investment Income — FY 2026</w:t>
            </w:r>
          </w:p>
        </w:tc>
        <w:tc>
          <w:tcPr>
            <w:tcW w:type="dxa" w:w="1080"/>
          </w:tcPr>
          <w:p>
            <w:r>
              <w:rPr>
                <w:rFonts w:ascii="Calibri" w:hAnsi="Calibri"/>
                <w:sz w:val="22"/>
              </w:rPr>
              <w:t>$1,291M</w:t>
            </w:r>
          </w:p>
        </w:tc>
        <w:tc>
          <w:tcPr>
            <w:tcW w:type="dxa" w:w="1080"/>
          </w:tcPr>
          <w:p>
            <w:r>
              <w:rPr>
                <w:rFonts w:ascii="Calibri" w:hAnsi="Calibri"/>
                <w:sz w:val="22"/>
              </w:rPr>
              <w:t>$1,287M</w:t>
            </w:r>
          </w:p>
        </w:tc>
        <w:tc>
          <w:tcPr>
            <w:tcW w:type="dxa" w:w="1080"/>
          </w:tcPr>
          <w:p>
            <w:r>
              <w:rPr>
                <w:rFonts w:ascii="Calibri" w:hAnsi="Calibri"/>
                <w:sz w:val="22"/>
              </w:rPr>
              <w:t>-0.3%</w:t>
            </w:r>
          </w:p>
        </w:tc>
        <w:tc>
          <w:tcPr>
            <w:tcW w:type="dxa" w:w="1080"/>
          </w:tcPr>
          <w:p>
            <w:r>
              <w:rPr>
                <w:rFonts w:ascii="Calibri" w:hAnsi="Calibri"/>
                <w:sz w:val="22"/>
              </w:rPr>
              <w:t>Continued growth; 5-yr CAGR ~11.7%</w:t>
            </w:r>
          </w:p>
        </w:tc>
        <w:tc>
          <w:tcPr>
            <w:tcW w:type="dxa" w:w="1080"/>
          </w:tcPr>
          <w:p>
            <w:r>
              <w:rPr>
                <w:rFonts w:ascii="Calibri" w:hAnsi="Calibri"/>
                <w:sz w:val="22"/>
              </w:rPr>
              <w:t>Unchanged</w:t>
            </w:r>
          </w:p>
        </w:tc>
        <w:tc>
          <w:tcPr>
            <w:tcW w:type="dxa" w:w="1080"/>
          </w:tcPr>
          <w:p>
            <w:r>
              <w:rPr>
                <w:rFonts w:ascii="Calibri" w:hAnsi="Calibri"/>
                <w:sz w:val="22"/>
              </w:rPr>
              <w:t>No change</w:t>
            </w:r>
          </w:p>
        </w:tc>
        <w:tc>
          <w:tcPr>
            <w:tcW w:type="dxa" w:w="1080"/>
          </w:tcPr>
          <w:p>
            <w:r>
              <w:rPr>
                <w:rFonts w:ascii="Calibri" w:hAnsi="Calibri"/>
                <w:sz w:val="22"/>
              </w:rPr>
              <w:t>Tracking near target</w:t>
            </w:r>
          </w:p>
        </w:tc>
      </w:tr>
    </w:tbl>
    <w:p>
      <w:r>
        <w:rPr>
          <w:rFonts w:ascii="Calibri" w:hAnsi="Calibri"/>
          <w:color w:val="525866"/>
          <w:sz w:val="22"/>
        </w:rPr>
        <w:t>Estimates are tracking modestly higher since the Q1 print, with the combined ratio estimate improving slightly and EPS drifting up — consistent with a market that has incrementally gained confidence in CINF's underwriting execution. The absence of explicit quarterly guidance means there is no formal guidance-vs.-consensus gap to monitor; the relevant benchmark remains the 92%–98% long-term combined ratio target, which consensus sits comfortably within.</w:t>
      </w:r>
    </w:p>
    <w:p>
      <w:r>
        <w:rPr>
          <w:rFonts w:ascii="Calibri" w:hAnsi="Calibri"/>
          <w:i/>
          <w:color w:val="525866"/>
          <w:sz w:val="22"/>
        </w:rPr>
        <w:t>Source: Visible Alpha Consensus and Actuals Data. Post-Q1 baseline as of approximately May 4, 2026 (5 trading days after April 27, 2026 earnings release). Current consensus as of July 26, 2026.</w:t>
      </w:r>
    </w:p>
    <w:p>
      <w:r>
        <w:br w:type="page"/>
      </w:r>
    </w:p>
    <w:p>
      <w:pPr>
        <w:pStyle w:val="Heading2"/>
      </w:pPr>
      <w:r>
        <w:rPr>
          <w:rFonts w:ascii="Calibri" w:hAnsi="Calibri"/>
          <w:b/>
          <w:color w:val="3B4259"/>
          <w:sz w:val="28"/>
        </w:rPr>
        <w:t>Stock Performance</w:t>
      </w:r>
    </w:p>
    <w:p>
      <w:r>
        <w:rPr>
          <w:rFonts w:ascii="Calibri" w:hAnsi="Calibri"/>
          <w:b/>
          <w:color w:val="525866"/>
          <w:sz w:val="22"/>
        </w:rPr>
        <w:t xml:space="preserve">Key Takeaway: </w:t>
      </w:r>
      <w:r>
        <w:rPr>
          <w:rFonts w:ascii="Calibri" w:hAnsi="Calibri"/>
          <w:color w:val="525866"/>
          <w:sz w:val="22"/>
        </w:rPr>
        <w:t>CINF has outperformed SPY (+10.4% vs. +3.3%) since the Q1 earnings date, broadly in line with the insurance sector (KIE +11.0%), suggesting the move has been sector-driven rather than CINF-specific alpha. The stock reached a high of ~$192 in early July before pulling back ~5% to ~$183, likely reflecting profit-taking after TRV's post-earnings analyst downgrades (Morgan Stanley to Underweight, TD Cowen to Sell) raised concerns about deteriorating industry fundamentals.</w:t>
      </w:r>
    </w:p>
    <w:p>
      <w:pPr>
        <w:pStyle w:val="Heading3"/>
      </w:pPr>
      <w:r>
        <w:rPr>
          <w:rFonts w:ascii="Calibri" w:hAnsi="Calibri"/>
          <w:b/>
          <w:color w:val="3B4259"/>
          <w:sz w:val="24"/>
        </w:rPr>
        <w:t>CINF vs. KIE vs. S&amp;P 500 — Since Q1 2026 Earnings (April 27,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CINF (Indexed)</w:t>
            </w:r>
          </w:p>
        </w:tc>
        <w:tc>
          <w:tcPr>
            <w:tcW w:type="dxa" w:w="2160"/>
            <w:shd w:val="clear" w:color="auto" w:fill="3B4259"/>
          </w:tcPr>
          <w:p>
            <w:r>
              <w:rPr>
                <w:rFonts w:ascii="Calibri" w:hAnsi="Calibri"/>
                <w:b/>
                <w:color w:val="FFFFFF"/>
                <w:sz w:val="22"/>
              </w:rPr>
              <w:t>KIE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27, 2026 (Base)</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29, 2026</w:t>
            </w:r>
          </w:p>
        </w:tc>
        <w:tc>
          <w:tcPr>
            <w:tcW w:type="dxa" w:w="2160"/>
          </w:tcPr>
          <w:p>
            <w:r>
              <w:rPr>
                <w:rFonts w:ascii="Calibri" w:hAnsi="Calibri"/>
                <w:sz w:val="22"/>
              </w:rPr>
              <w:t>95.0</w:t>
            </w:r>
          </w:p>
        </w:tc>
        <w:tc>
          <w:tcPr>
            <w:tcW w:type="dxa" w:w="2160"/>
          </w:tcPr>
          <w:p>
            <w:r>
              <w:rPr>
                <w:rFonts w:ascii="Calibri" w:hAnsi="Calibri"/>
                <w:sz w:val="22"/>
              </w:rPr>
              <w:t>95.4</w:t>
            </w:r>
          </w:p>
        </w:tc>
        <w:tc>
          <w:tcPr>
            <w:tcW w:type="dxa" w:w="2160"/>
          </w:tcPr>
          <w:p>
            <w:r>
              <w:rPr>
                <w:rFonts w:ascii="Calibri" w:hAnsi="Calibri"/>
                <w:sz w:val="22"/>
              </w:rPr>
              <w:t>105.8</w:t>
            </w:r>
          </w:p>
        </w:tc>
      </w:tr>
      <w:tr>
        <w:tc>
          <w:tcPr>
            <w:tcW w:type="dxa" w:w="2160"/>
          </w:tcPr>
          <w:p>
            <w:r>
              <w:rPr>
                <w:rFonts w:ascii="Calibri" w:hAnsi="Calibri"/>
                <w:sz w:val="22"/>
              </w:rPr>
              <w:t>Jun 5, 2026 (Investor Presentation filed)</w:t>
            </w:r>
          </w:p>
        </w:tc>
        <w:tc>
          <w:tcPr>
            <w:tcW w:type="dxa" w:w="2160"/>
          </w:tcPr>
          <w:p>
            <w:r>
              <w:rPr>
                <w:rFonts w:ascii="Calibri" w:hAnsi="Calibri"/>
                <w:sz w:val="22"/>
              </w:rPr>
              <w:t>99.8</w:t>
            </w:r>
          </w:p>
        </w:tc>
        <w:tc>
          <w:tcPr>
            <w:tcW w:type="dxa" w:w="2160"/>
          </w:tcPr>
          <w:p>
            <w:r>
              <w:rPr>
                <w:rFonts w:ascii="Calibri" w:hAnsi="Calibri"/>
                <w:sz w:val="22"/>
              </w:rPr>
              <w:t>98.5</w:t>
            </w:r>
          </w:p>
        </w:tc>
        <w:tc>
          <w:tcPr>
            <w:tcW w:type="dxa" w:w="2160"/>
          </w:tcPr>
          <w:p>
            <w:r>
              <w:rPr>
                <w:rFonts w:ascii="Calibri" w:hAnsi="Calibri"/>
                <w:sz w:val="22"/>
              </w:rPr>
              <w:t>103.1</w:t>
            </w:r>
          </w:p>
        </w:tc>
      </w:tr>
      <w:tr>
        <w:tc>
          <w:tcPr>
            <w:tcW w:type="dxa" w:w="2160"/>
          </w:tcPr>
          <w:p>
            <w:r>
              <w:rPr>
                <w:rFonts w:ascii="Calibri" w:hAnsi="Calibri"/>
                <w:sz w:val="22"/>
              </w:rPr>
              <w:t>Jun 22, 2026 (New Director Appointed)</w:t>
            </w:r>
          </w:p>
        </w:tc>
        <w:tc>
          <w:tcPr>
            <w:tcW w:type="dxa" w:w="2160"/>
          </w:tcPr>
          <w:p>
            <w:r>
              <w:rPr>
                <w:rFonts w:ascii="Calibri" w:hAnsi="Calibri"/>
                <w:sz w:val="22"/>
              </w:rPr>
              <w:t>104.1</w:t>
            </w:r>
          </w:p>
        </w:tc>
        <w:tc>
          <w:tcPr>
            <w:tcW w:type="dxa" w:w="2160"/>
          </w:tcPr>
          <w:p>
            <w:r>
              <w:rPr>
                <w:rFonts w:ascii="Calibri" w:hAnsi="Calibri"/>
                <w:sz w:val="22"/>
              </w:rPr>
              <w:t>100.8</w:t>
            </w:r>
          </w:p>
        </w:tc>
        <w:tc>
          <w:tcPr>
            <w:tcW w:type="dxa" w:w="2160"/>
          </w:tcPr>
          <w:p>
            <w:r>
              <w:rPr>
                <w:rFonts w:ascii="Calibri" w:hAnsi="Calibri"/>
                <w:sz w:val="22"/>
              </w:rPr>
              <w:t>104.1</w:t>
            </w:r>
          </w:p>
        </w:tc>
      </w:tr>
      <w:tr>
        <w:tc>
          <w:tcPr>
            <w:tcW w:type="dxa" w:w="2160"/>
          </w:tcPr>
          <w:p>
            <w:r>
              <w:rPr>
                <w:rFonts w:ascii="Calibri" w:hAnsi="Calibri"/>
                <w:sz w:val="22"/>
              </w:rPr>
              <w:t>Jun 26, 2026</w:t>
            </w:r>
          </w:p>
        </w:tc>
        <w:tc>
          <w:tcPr>
            <w:tcW w:type="dxa" w:w="2160"/>
          </w:tcPr>
          <w:p>
            <w:r>
              <w:rPr>
                <w:rFonts w:ascii="Calibri" w:hAnsi="Calibri"/>
                <w:sz w:val="22"/>
              </w:rPr>
              <w:t>111.1</w:t>
            </w:r>
          </w:p>
        </w:tc>
        <w:tc>
          <w:tcPr>
            <w:tcW w:type="dxa" w:w="2160"/>
          </w:tcPr>
          <w:p>
            <w:r>
              <w:rPr>
                <w:rFonts w:ascii="Calibri" w:hAnsi="Calibri"/>
                <w:sz w:val="22"/>
              </w:rPr>
              <w:t>105.6</w:t>
            </w:r>
          </w:p>
        </w:tc>
        <w:tc>
          <w:tcPr>
            <w:tcW w:type="dxa" w:w="2160"/>
          </w:tcPr>
          <w:p>
            <w:r>
              <w:rPr>
                <w:rFonts w:ascii="Calibri" w:hAnsi="Calibri"/>
                <w:sz w:val="22"/>
              </w:rPr>
              <w:t>101.9</w:t>
            </w:r>
          </w:p>
        </w:tc>
      </w:tr>
      <w:tr>
        <w:tc>
          <w:tcPr>
            <w:tcW w:type="dxa" w:w="2160"/>
          </w:tcPr>
          <w:p>
            <w:r>
              <w:rPr>
                <w:rFonts w:ascii="Calibri" w:hAnsi="Calibri"/>
                <w:sz w:val="22"/>
              </w:rPr>
              <w:t>Jul 2, 2026 (52-week high ~$192)</w:t>
            </w:r>
          </w:p>
        </w:tc>
        <w:tc>
          <w:tcPr>
            <w:tcW w:type="dxa" w:w="2160"/>
          </w:tcPr>
          <w:p>
            <w:r>
              <w:rPr>
                <w:rFonts w:ascii="Calibri" w:hAnsi="Calibri"/>
                <w:sz w:val="22"/>
              </w:rPr>
              <w:t>115.9</w:t>
            </w:r>
          </w:p>
        </w:tc>
        <w:tc>
          <w:tcPr>
            <w:tcW w:type="dxa" w:w="2160"/>
          </w:tcPr>
          <w:p>
            <w:r>
              <w:rPr>
                <w:rFonts w:ascii="Calibri" w:hAnsi="Calibri"/>
                <w:sz w:val="22"/>
              </w:rPr>
              <w:t>110.9</w:t>
            </w:r>
          </w:p>
        </w:tc>
        <w:tc>
          <w:tcPr>
            <w:tcW w:type="dxa" w:w="2160"/>
          </w:tcPr>
          <w:p>
            <w:r>
              <w:rPr>
                <w:rFonts w:ascii="Calibri" w:hAnsi="Calibri"/>
                <w:sz w:val="22"/>
              </w:rPr>
              <w:t>104.1</w:t>
            </w:r>
          </w:p>
        </w:tc>
      </w:tr>
      <w:tr>
        <w:tc>
          <w:tcPr>
            <w:tcW w:type="dxa" w:w="2160"/>
          </w:tcPr>
          <w:p>
            <w:r>
              <w:rPr>
                <w:rFonts w:ascii="Calibri" w:hAnsi="Calibri"/>
                <w:sz w:val="22"/>
              </w:rPr>
              <w:t>Jul 17, 2026 (TRV earnings; sector downgrades)</w:t>
            </w:r>
          </w:p>
        </w:tc>
        <w:tc>
          <w:tcPr>
            <w:tcW w:type="dxa" w:w="2160"/>
          </w:tcPr>
          <w:p>
            <w:r>
              <w:rPr>
                <w:rFonts w:ascii="Calibri" w:hAnsi="Calibri"/>
                <w:sz w:val="22"/>
              </w:rPr>
              <w:t>109.1</w:t>
            </w:r>
          </w:p>
        </w:tc>
        <w:tc>
          <w:tcPr>
            <w:tcW w:type="dxa" w:w="2160"/>
          </w:tcPr>
          <w:p>
            <w:r>
              <w:rPr>
                <w:rFonts w:ascii="Calibri" w:hAnsi="Calibri"/>
                <w:sz w:val="22"/>
              </w:rPr>
              <w:t>111.0</w:t>
            </w:r>
          </w:p>
        </w:tc>
        <w:tc>
          <w:tcPr>
            <w:tcW w:type="dxa" w:w="2160"/>
          </w:tcPr>
          <w:p>
            <w:r>
              <w:rPr>
                <w:rFonts w:ascii="Calibri" w:hAnsi="Calibri"/>
                <w:sz w:val="22"/>
              </w:rPr>
              <w:t>103.9</w:t>
            </w:r>
          </w:p>
        </w:tc>
      </w:tr>
      <w:tr>
        <w:tc>
          <w:tcPr>
            <w:tcW w:type="dxa" w:w="2160"/>
          </w:tcPr>
          <w:p>
            <w:r>
              <w:rPr>
                <w:rFonts w:ascii="Calibri" w:hAnsi="Calibri"/>
                <w:sz w:val="22"/>
              </w:rPr>
              <w:t>Jul 24, 2026 (Latest)</w:t>
            </w:r>
          </w:p>
        </w:tc>
        <w:tc>
          <w:tcPr>
            <w:tcW w:type="dxa" w:w="2160"/>
          </w:tcPr>
          <w:p>
            <w:r>
              <w:rPr>
                <w:rFonts w:ascii="Calibri" w:hAnsi="Calibri"/>
                <w:sz w:val="22"/>
              </w:rPr>
              <w:t>110.4</w:t>
            </w:r>
          </w:p>
        </w:tc>
        <w:tc>
          <w:tcPr>
            <w:tcW w:type="dxa" w:w="2160"/>
          </w:tcPr>
          <w:p>
            <w:r>
              <w:rPr>
                <w:rFonts w:ascii="Calibri" w:hAnsi="Calibri"/>
                <w:sz w:val="22"/>
              </w:rPr>
              <w:t>111.0</w:t>
            </w:r>
          </w:p>
        </w:tc>
        <w:tc>
          <w:tcPr>
            <w:tcW w:type="dxa" w:w="2160"/>
          </w:tcPr>
          <w:p>
            <w:r>
              <w:rPr>
                <w:rFonts w:ascii="Calibri" w:hAnsi="Calibri"/>
                <w:sz w:val="22"/>
              </w:rPr>
              <w:t>103.3</w:t>
            </w:r>
          </w:p>
        </w:tc>
      </w:tr>
    </w:tbl>
    <w:p>
      <w:r>
        <w:rPr>
          <w:rFonts w:ascii="Calibri" w:hAnsi="Calibri"/>
          <w:b/>
          <w:color w:val="525866"/>
          <w:sz w:val="22"/>
        </w:rPr>
        <w:t xml:space="preserve">Note: </w:t>
      </w:r>
      <w:r>
        <w:rPr>
          <w:rFonts w:ascii="Calibri" w:hAnsi="Calibri"/>
          <w:color w:val="525866"/>
          <w:sz w:val="22"/>
        </w:rPr>
        <w:t>Indexed to 100 at April 27, 2026 close (CINF: $165.64, KIE: $57.79, SPY: $715.17). CINF reached an intraday high of ~$192 on July 2, 2026 before pulling back. The sector ETF used is KIE (SPDR S&amp;P Insurance ETF), which tracks the S&amp;P Insurance Select Industry Index and is the most appropriate benchmark for CINF's P&amp;C insurance sub-sector.</w:t>
      </w:r>
    </w:p>
    <w:p>
      <w:r>
        <w:rPr>
          <w:rFonts w:ascii="Calibri" w:hAnsi="Calibri"/>
          <w:color w:val="525866"/>
          <w:sz w:val="22"/>
        </w:rPr>
        <w:t>Key Events Since Q1 Earnings:</w:t>
      </w:r>
    </w:p>
    <w:p>
      <w:pPr>
        <w:pStyle w:val="ListBullet"/>
        <w:ind w:left="360" w:hanging="360"/>
      </w:pPr>
      <w:r>
        <w:rPr>
          <w:rFonts w:ascii="Calibri" w:hAnsi="Calibri"/>
          <w:b/>
          <w:color w:val="525866"/>
          <w:sz w:val="22"/>
        </w:rPr>
        <w:t>May 19, 2026:</w:t>
      </w:r>
      <w:r>
        <w:rPr>
          <w:rFonts w:ascii="Calibri" w:hAnsi="Calibri"/>
          <w:color w:val="525866"/>
          <w:sz w:val="22"/>
        </w:rPr>
        <w:t xml:space="preserve"> CINF filed investor presentation (8-K) — reiterated long-term targets, no guidance change.</w:t>
      </w:r>
    </w:p>
    <w:p>
      <w:pPr>
        <w:pStyle w:val="ListBullet"/>
        <w:ind w:left="360" w:hanging="360"/>
      </w:pPr>
      <w:r>
        <w:rPr>
          <w:rFonts w:ascii="Calibri" w:hAnsi="Calibri"/>
          <w:b/>
          <w:color w:val="525866"/>
          <w:sz w:val="22"/>
        </w:rPr>
        <w:t>Jun 16, 2026:</w:t>
      </w:r>
      <w:r>
        <w:rPr>
          <w:rFonts w:ascii="Calibri" w:hAnsi="Calibri"/>
          <w:color w:val="525866"/>
          <w:sz w:val="22"/>
        </w:rPr>
        <w:t xml:space="preserve"> CIO John Kellington announced retirement (8-K) — minor leadership transition, no operational impact flagged.</w:t>
      </w:r>
    </w:p>
    <w:p>
      <w:pPr>
        <w:pStyle w:val="ListBullet"/>
        <w:ind w:left="360" w:hanging="360"/>
      </w:pPr>
      <w:r>
        <w:rPr>
          <w:rFonts w:ascii="Calibri" w:hAnsi="Calibri"/>
          <w:b/>
          <w:color w:val="525866"/>
          <w:sz w:val="22"/>
        </w:rPr>
        <w:t>Jun 22, 2026:</w:t>
      </w:r>
      <w:r>
        <w:rPr>
          <w:rFonts w:ascii="Calibri" w:hAnsi="Calibri"/>
          <w:color w:val="525866"/>
          <w:sz w:val="22"/>
        </w:rPr>
        <w:t xml:space="preserve"> CINF appointed new independent director, expanding the board (8-K) — governance positive.</w:t>
      </w:r>
    </w:p>
    <w:p>
      <w:pPr>
        <w:pStyle w:val="ListBullet"/>
        <w:ind w:left="360" w:hanging="360"/>
      </w:pPr>
      <w:r>
        <w:rPr>
          <w:rFonts w:ascii="Calibri" w:hAnsi="Calibri"/>
          <w:b/>
          <w:color w:val="525866"/>
          <w:sz w:val="22"/>
        </w:rPr>
        <w:t>Jul 17, 2026:</w:t>
      </w:r>
      <w:r>
        <w:rPr>
          <w:rFonts w:ascii="Calibri" w:hAnsi="Calibri"/>
          <w:color w:val="525866"/>
          <w:sz w:val="22"/>
        </w:rPr>
        <w:t xml:space="preserve"> TRV reported strong Q2 earnings but received analyst downgrades (Morgan Stanley to Underweight, TD Cowen to Sell) citing deteriorating industry fundamentals — created modest sector headwind for CINF.</w:t>
      </w:r>
    </w:p>
    <w:p>
      <w:pPr>
        <w:pStyle w:val="ListBullet"/>
        <w:ind w:left="360" w:hanging="360"/>
      </w:pPr>
      <w:r>
        <w:rPr>
          <w:rFonts w:ascii="Calibri" w:hAnsi="Calibri"/>
          <w:b/>
          <w:color w:val="525866"/>
          <w:sz w:val="22"/>
        </w:rPr>
        <w:t>Jul 20–22, 2026:</w:t>
      </w:r>
      <w:r>
        <w:rPr>
          <w:rFonts w:ascii="Calibri" w:hAnsi="Calibri"/>
          <w:color w:val="525866"/>
          <w:sz w:val="22"/>
        </w:rPr>
        <w:t xml:space="preserve"> WRB, CB, and HIG reported Q2 results — broadly positive for the sector, with benign cat losses and strong investment income providing read-through support for CINF.</w:t>
      </w:r>
    </w:p>
    <w:p>
      <w:r>
        <w:rPr>
          <w:rFonts w:ascii="Calibri" w:hAnsi="Calibri"/>
          <w:i/>
          <w:color w:val="525866"/>
          <w:sz w:val="22"/>
        </w:rPr>
        <w:t>Source: Stock Price Data (Yahoo Finance). Indexed returns computed from closing prices.</w:t>
      </w:r>
    </w:p>
    <w:p>
      <w:r>
        <w:br w:type="page"/>
      </w:r>
    </w:p>
    <w:p>
      <w:pPr>
        <w:pStyle w:val="Heading2"/>
      </w:pPr>
      <w:r>
        <w:rPr>
          <w:rFonts w:ascii="Calibri" w:hAnsi="Calibri"/>
          <w:b/>
          <w:color w:val="3B4259"/>
          <w:sz w:val="28"/>
        </w:rPr>
        <w:t>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wave of P&amp;C peer earnings (TRV, CB, WRB, HIG) that collectively signal a benign Q2 catastrophe quarter and strong investment income — both positive read-throughs for CINF — but also confirm accelerating commercial property pricing softness and ongoing casualty reserve uncertainty, which are the key risks heading into the print.</w:t>
      </w:r>
    </w:p>
    <w:p>
      <w:pPr>
        <w:pStyle w:val="ListBullet"/>
        <w:ind w:left="360" w:hanging="360"/>
      </w:pPr>
      <w:r>
        <w:rPr>
          <w:rFonts w:ascii="Calibri" w:hAnsi="Calibri"/>
          <w:b/>
          <w:color w:val="525866"/>
          <w:sz w:val="22"/>
        </w:rPr>
        <w:t>Jul 17, 2026 — Travelers (TRV) Q2 2026 Earnings Beat; Sector Downgrades Follow.</w:t>
      </w:r>
      <w:r>
        <w:rPr>
          <w:rFonts w:ascii="Calibri" w:hAnsi="Calibri"/>
          <w:color w:val="525866"/>
          <w:sz w:val="22"/>
        </w:rPr>
        <w:t xml:space="preserve"> TRV reported Q2 operating EPS of $10.04 vs. consensus of $5.41, with a combined ratio of 83.6% and NWP of $11.53B (above consensus of $11.26B). Despite the strong print, Morgan Stanley downgraded TRV to Underweight (PT $290 from $333) and TD Cowen downgraded to Sell, both citing the stock's rally being "at odds with deteriorating industry fundamentals." Implication: Positive read-through for CINF's underwriting and investment income, but the downgrades signal analyst concern about the sustainability of the pricing environment — a risk CINF faces as well.</w:t>
      </w:r>
    </w:p>
    <w:p>
      <w:pPr>
        <w:pStyle w:val="ListBullet"/>
        <w:ind w:left="360" w:hanging="360"/>
      </w:pPr>
      <w:r>
        <w:rPr>
          <w:rFonts w:ascii="Calibri" w:hAnsi="Calibri"/>
          <w:b/>
          <w:color w:val="525866"/>
          <w:sz w:val="22"/>
        </w:rPr>
        <w:t>Jul 21–22, 2026 — Chubb (CB) Q2 2026 Earnings Beat.</w:t>
      </w:r>
      <w:r>
        <w:rPr>
          <w:rFonts w:ascii="Calibri" w:hAnsi="Calibri"/>
          <w:color w:val="525866"/>
          <w:sz w:val="22"/>
        </w:rPr>
        <w:t xml:space="preserve"> CB reported Q2 EPS of $7.26 vs. consensus of $6.75, with a combined ratio of 83.8% and cat losses of $475M (primarily U.S. weather events). CB explicitly flagged that soft market conditions are spreading from property to casualty lines, with U.S. casualty loss costs rising at 6–7% (primary) and 9.5–12% (excess) annually, and stated there is "zero evidence across the industry that loss costs have abated." Implication: Benign cat quarter is a positive for CINF, but CB's warning on casualty loss cost inflation is a direct risk to CINF's commercial casualty reserves.</w:t>
      </w:r>
    </w:p>
    <w:p>
      <w:pPr>
        <w:pStyle w:val="ListBullet"/>
        <w:ind w:left="360" w:hanging="360"/>
      </w:pPr>
      <w:r>
        <w:rPr>
          <w:rFonts w:ascii="Calibri" w:hAnsi="Calibri"/>
          <w:b/>
          <w:color w:val="525866"/>
          <w:sz w:val="22"/>
        </w:rPr>
        <w:t>Jul 20, 2026 — W.R. Berkley (WRB) Q2 2026 Earnings Beat.</w:t>
      </w:r>
      <w:r>
        <w:rPr>
          <w:rFonts w:ascii="Calibri" w:hAnsi="Calibri"/>
          <w:color w:val="525866"/>
          <w:sz w:val="22"/>
        </w:rPr>
        <w:t xml:space="preserve"> WRB reported Q2 EPS of $1.27 vs. consensus of $1.08, with cat losses of only $62M (2 loss ratio points, down from 3.2 pts in Q2 2025) and record net investment income of $419M (+10.4% YoY). WRB described Q2 as a "relatively benign cat quarter" and flagged that commercial property (especially shared and layered) is "particularly concerning" due to aggressive pricing from MGAs and London markets. Implication: Benign cat environment and strong investment income are direct positive read-throughs for CINF; commercial property pricing softness is a headwind.</w:t>
      </w:r>
    </w:p>
    <w:p>
      <w:pPr>
        <w:pStyle w:val="ListBullet"/>
        <w:ind w:left="360" w:hanging="360"/>
      </w:pPr>
      <w:r>
        <w:rPr>
          <w:rFonts w:ascii="Calibri" w:hAnsi="Calibri"/>
          <w:b/>
          <w:color w:val="525866"/>
          <w:sz w:val="22"/>
        </w:rPr>
        <w:t>Jul 23, 2026 — Hartford (HIG) Q2 2026 Earnings.</w:t>
      </w:r>
      <w:r>
        <w:rPr>
          <w:rFonts w:ascii="Calibri" w:hAnsi="Calibri"/>
          <w:color w:val="525866"/>
          <w:sz w:val="22"/>
        </w:rPr>
        <w:t xml:space="preserve"> HIG reported strong Q2 results with business insurance NWP growth of 5% and net investment income of $800M (+22% YoY). HIG increased general liability reserves by $46M (excess/umbrella, multiple accident years 2017–2023) and commercial auto reserves due to higher severity in 2023–2024, citing "increasing attorney representation and time limit demands." Implication: HIG's reserve additions in GL and commercial auto are a direct warning signal for CINF's casualty book; the investment income strength is a positive read-through.</w:t>
      </w:r>
    </w:p>
    <w:p>
      <w:pPr>
        <w:pStyle w:val="ListBullet"/>
        <w:ind w:left="360" w:hanging="360"/>
      </w:pPr>
      <w:r>
        <w:rPr>
          <w:rFonts w:ascii="Calibri" w:hAnsi="Calibri"/>
          <w:b/>
          <w:color w:val="525866"/>
          <w:sz w:val="22"/>
        </w:rPr>
        <w:t>Jul 23–24, 2026 — Kinsale Capital (KNSL) Q2 2026 Earnings.</w:t>
      </w:r>
      <w:r>
        <w:rPr>
          <w:rFonts w:ascii="Calibri" w:hAnsi="Calibri"/>
          <w:color w:val="525866"/>
          <w:sz w:val="22"/>
        </w:rPr>
        <w:t xml:space="preserve"> KNSL reported a combined ratio of 75.5% with 4.5 pts of favorable prior-year development and net investment income up 19.9% YoY. KNSL noted that commercial property (large, shared/layered) faces the most intense competition with "material rate declines," while casualty loss cost trends are running at "mid-single digits." Implication: Favorable reserve development and strong investment income are positive signals; the commercial property pricing pressure is consistent with other peers.</w:t>
      </w:r>
    </w:p>
    <w:p>
      <w:pPr>
        <w:pStyle w:val="ListBullet"/>
        <w:ind w:left="360" w:hanging="360"/>
      </w:pPr>
      <w:r>
        <w:rPr>
          <w:rFonts w:ascii="Calibri" w:hAnsi="Calibri"/>
          <w:b/>
          <w:color w:val="525866"/>
          <w:sz w:val="22"/>
        </w:rPr>
        <w:t>Jul 20, 2026 — Progressive (PGR) June 2026 Monthly Data.</w:t>
      </w:r>
      <w:r>
        <w:rPr>
          <w:rFonts w:ascii="Calibri" w:hAnsi="Calibri"/>
          <w:color w:val="525866"/>
          <w:sz w:val="22"/>
        </w:rPr>
        <w:t xml:space="preserve"> PGR reported Q2 NWP of $21.1B (+5% YoY) with a combined ratio of 90.0% (up 3.4 pts YoY). PGR noted it is now the nation's largest personal auto insurer and faces a combination of strong profitability and slowing growth. Wolfe Research estimates PGR will return $6.6B through dividends and $2.3B through buybacks. Implication: Personal auto market is normalizing (consistent with CINF's Q1 commentary), and PGR's capital return discussion highlights the industry's strong balance sheet position.</w:t>
      </w:r>
    </w:p>
    <w:p>
      <w:pPr>
        <w:pStyle w:val="ListBullet"/>
        <w:ind w:left="360" w:hanging="360"/>
      </w:pPr>
      <w:r>
        <w:rPr>
          <w:rFonts w:ascii="Calibri" w:hAnsi="Calibri"/>
          <w:b/>
          <w:color w:val="525866"/>
          <w:sz w:val="22"/>
        </w:rPr>
        <w:t>Jul 24, 2026 — Munich Re Upside Pre-Announcement.</w:t>
      </w:r>
      <w:r>
        <w:rPr>
          <w:rFonts w:ascii="Calibri" w:hAnsi="Calibri"/>
          <w:color w:val="525866"/>
          <w:sz w:val="22"/>
        </w:rPr>
        <w:t xml:space="preserve"> Munich Re issued an upside pre-announcement with Q2 profit of €2.2B vs. consensus of €1.78B, driven by low catastrophe losses and healthy investment income. Implication: Confirms the broadly benign Q2 catastrophe environment globally, a positive read-through for CINF's cat load.</w:t>
      </w:r>
    </w:p>
    <w:p>
      <w:pPr>
        <w:pStyle w:val="ListBullet"/>
        <w:ind w:left="360" w:hanging="360"/>
      </w:pPr>
      <w:r>
        <w:rPr>
          <w:rFonts w:ascii="Calibri" w:hAnsi="Calibri"/>
          <w:b/>
          <w:color w:val="525866"/>
          <w:sz w:val="22"/>
        </w:rPr>
        <w:t>Jul 16, 2026 — Allstate (ALL) June 2026 Catastrophe Loss Estimates Disclosed.</w:t>
      </w:r>
      <w:r>
        <w:rPr>
          <w:rFonts w:ascii="Calibri" w:hAnsi="Calibri"/>
          <w:color w:val="525866"/>
          <w:sz w:val="22"/>
        </w:rPr>
        <w:t xml:space="preserve"> ALL disclosed June 2026 catastrophe loss estimates via 8-K. Implication: Provides a data point on Q2 cat activity in the personal lines market; the disclosure itself (rather than a pre-announcement of elevated losses) suggests manageable cat experience.</w:t>
      </w:r>
    </w:p>
    <w:p>
      <w:pPr>
        <w:pStyle w:val="ListBullet"/>
        <w:ind w:left="360" w:hanging="360"/>
      </w:pPr>
      <w:r>
        <w:rPr>
          <w:rFonts w:ascii="Calibri" w:hAnsi="Calibri"/>
          <w:b/>
          <w:color w:val="525866"/>
          <w:sz w:val="22"/>
        </w:rPr>
        <w:t>Jul 14, 2026 — Allstate (ALL) CFO Change.</w:t>
      </w:r>
      <w:r>
        <w:rPr>
          <w:rFonts w:ascii="Calibri" w:hAnsi="Calibri"/>
          <w:color w:val="525866"/>
          <w:sz w:val="22"/>
        </w:rPr>
        <w:t xml:space="preserve"> ALL named Christian M. Lown as new CFO, effective August 2026. Implication: Sector-level leadership change; no direct read-through to CINF.</w:t>
      </w:r>
    </w:p>
    <w:p>
      <w:pPr>
        <w:pStyle w:val="ListBullet"/>
        <w:ind w:left="360" w:hanging="360"/>
      </w:pPr>
      <w:r>
        <w:rPr>
          <w:rFonts w:ascii="Calibri" w:hAnsi="Calibri"/>
          <w:b/>
          <w:color w:val="525866"/>
          <w:sz w:val="22"/>
        </w:rPr>
        <w:t>Jun 22, 2026 — CINF Appoints New Independent Director.</w:t>
      </w:r>
      <w:r>
        <w:rPr>
          <w:rFonts w:ascii="Calibri" w:hAnsi="Calibri"/>
          <w:color w:val="525866"/>
          <w:sz w:val="22"/>
        </w:rPr>
        <w:t xml:space="preserve"> Cincinnati Financial appointed a new independent director, expanding the board (8-K). Implication: Governance positive; no operational impact.</w:t>
      </w:r>
    </w:p>
    <w:p>
      <w:pPr>
        <w:pStyle w:val="ListBullet"/>
        <w:ind w:left="360" w:hanging="360"/>
      </w:pPr>
      <w:r>
        <w:rPr>
          <w:rFonts w:ascii="Calibri" w:hAnsi="Calibri"/>
          <w:b/>
          <w:color w:val="525866"/>
          <w:sz w:val="22"/>
        </w:rPr>
        <w:t>Jun 16, 2026 — CINF CIO Announces Retirement.</w:t>
      </w:r>
      <w:r>
        <w:rPr>
          <w:rFonts w:ascii="Calibri" w:hAnsi="Calibri"/>
          <w:color w:val="525866"/>
          <w:sz w:val="22"/>
        </w:rPr>
        <w:t xml:space="preserve"> John Kellington (EVP, Chief Information Officer) announced his retirement (8-K). Implication: Minor leadership transition; management noted the team is prepared to continue executing. The retirement was flagged on the Q1 call as part of normal succession planning.</w:t>
      </w:r>
    </w:p>
    <w:p>
      <w:pPr>
        <w:pStyle w:val="ListBullet"/>
        <w:ind w:left="360" w:hanging="360"/>
      </w:pPr>
      <w:r>
        <w:rPr>
          <w:rFonts w:ascii="Calibri" w:hAnsi="Calibri"/>
          <w:b/>
          <w:color w:val="525866"/>
          <w:sz w:val="22"/>
        </w:rPr>
        <w:t>May 19, 2026 — CINF Files Investor Presentation.</w:t>
      </w:r>
      <w:r>
        <w:rPr>
          <w:rFonts w:ascii="Calibri" w:hAnsi="Calibri"/>
          <w:color w:val="525866"/>
          <w:sz w:val="22"/>
        </w:rPr>
        <w:t xml:space="preserve"> CINF filed its May 2026 investor handout (8-K EX-99.1), reiterating long-term targets and Q1 2026 performance highlights. No guidance changes. Implication: Confirms management's confidence in the strategic direction; no new information beyond Q1 earnings.</w:t>
      </w:r>
    </w:p>
    <w:p>
      <w:r>
        <w:br w:type="page"/>
      </w:r>
    </w:p>
    <w:p>
      <w:pPr>
        <w:pStyle w:val="Heading2"/>
      </w:pPr>
      <w:r>
        <w:rPr>
          <w:rFonts w:ascii="Calibri" w:hAnsi="Calibri"/>
          <w:b/>
          <w:color w:val="3B4259"/>
          <w:sz w:val="28"/>
        </w:rPr>
        <w:t>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were recorded in the period. All transactions are option exercises with associated tax-withholding share dispositions (Form 4 code M/F) — routine compensation-related activity with no informational signal. The absence of any discretionary open-market selling ahead of earnings is a mild positive.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Kellington, John S.</w:t>
            </w:r>
          </w:p>
        </w:tc>
        <w:tc>
          <w:tcPr>
            <w:tcW w:type="dxa" w:w="1440"/>
          </w:tcPr>
          <w:p>
            <w:r>
              <w:rPr>
                <w:rFonts w:ascii="Calibri" w:hAnsi="Calibri"/>
                <w:sz w:val="22"/>
              </w:rPr>
              <w:t>EVP, Chief Information Officer</w:t>
            </w:r>
          </w:p>
        </w:tc>
        <w:tc>
          <w:tcPr>
            <w:tcW w:type="dxa" w:w="1440"/>
          </w:tcPr>
          <w:p>
            <w:r>
              <w:rPr>
                <w:rFonts w:ascii="Calibri" w:hAnsi="Calibri"/>
                <w:sz w:val="22"/>
              </w:rPr>
              <w:t>Option Exercise + Tax Withholding</w:t>
            </w:r>
          </w:p>
        </w:tc>
        <w:tc>
          <w:tcPr>
            <w:tcW w:type="dxa" w:w="1440"/>
          </w:tcPr>
          <w:p>
            <w:r>
              <w:rPr>
                <w:rFonts w:ascii="Calibri" w:hAnsi="Calibri"/>
                <w:sz w:val="22"/>
              </w:rPr>
              <w:t>24,221 exercised; 17,536 withheld</w:t>
            </w:r>
          </w:p>
        </w:tc>
        <w:tc>
          <w:tcPr>
            <w:tcW w:type="dxa" w:w="1440"/>
          </w:tcPr>
          <w:p>
            <w:r>
              <w:rPr>
                <w:rFonts w:ascii="Calibri" w:hAnsi="Calibri"/>
                <w:sz w:val="22"/>
              </w:rPr>
              <w:t>Jun 8, 2026</w:t>
            </w:r>
          </w:p>
        </w:tc>
        <w:tc>
          <w:tcPr>
            <w:tcW w:type="dxa" w:w="1440"/>
          </w:tcPr>
          <w:p>
            <w:r>
              <w:rPr>
                <w:rFonts w:ascii="Calibri" w:hAnsi="Calibri"/>
                <w:sz w:val="22"/>
              </w:rPr>
              <w:t>Routine option exercise upon retirement announcement; tax withholding disposition (code F), not a discretionary sale</w:t>
            </w:r>
          </w:p>
        </w:tc>
      </w:tr>
      <w:tr>
        <w:tc>
          <w:tcPr>
            <w:tcW w:type="dxa" w:w="1440"/>
          </w:tcPr>
          <w:p>
            <w:r>
              <w:rPr>
                <w:rFonts w:ascii="Calibri" w:hAnsi="Calibri"/>
                <w:sz w:val="22"/>
              </w:rPr>
              <w:t>Sewell, Michael J.</w:t>
            </w:r>
          </w:p>
        </w:tc>
        <w:tc>
          <w:tcPr>
            <w:tcW w:type="dxa" w:w="1440"/>
          </w:tcPr>
          <w:p>
            <w:r>
              <w:rPr>
                <w:rFonts w:ascii="Calibri" w:hAnsi="Calibri"/>
                <w:sz w:val="22"/>
              </w:rPr>
              <w:t>CFO, EVP &amp; Treasurer</w:t>
            </w:r>
          </w:p>
        </w:tc>
        <w:tc>
          <w:tcPr>
            <w:tcW w:type="dxa" w:w="1440"/>
          </w:tcPr>
          <w:p>
            <w:r>
              <w:rPr>
                <w:rFonts w:ascii="Calibri" w:hAnsi="Calibri"/>
                <w:sz w:val="22"/>
              </w:rPr>
              <w:t>Option Exercise + Tax Withholding</w:t>
            </w:r>
          </w:p>
        </w:tc>
        <w:tc>
          <w:tcPr>
            <w:tcW w:type="dxa" w:w="1440"/>
          </w:tcPr>
          <w:p>
            <w:r>
              <w:rPr>
                <w:rFonts w:ascii="Calibri" w:hAnsi="Calibri"/>
                <w:sz w:val="22"/>
              </w:rPr>
              <w:t>36,909 exercised; 8,822 withheld</w:t>
            </w:r>
          </w:p>
        </w:tc>
        <w:tc>
          <w:tcPr>
            <w:tcW w:type="dxa" w:w="1440"/>
          </w:tcPr>
          <w:p>
            <w:r>
              <w:rPr>
                <w:rFonts w:ascii="Calibri" w:hAnsi="Calibri"/>
                <w:sz w:val="22"/>
              </w:rPr>
              <w:t>May 1, 2026</w:t>
            </w:r>
          </w:p>
        </w:tc>
        <w:tc>
          <w:tcPr>
            <w:tcW w:type="dxa" w:w="1440"/>
          </w:tcPr>
          <w:p>
            <w:r>
              <w:rPr>
                <w:rFonts w:ascii="Calibri" w:hAnsi="Calibri"/>
                <w:sz w:val="22"/>
              </w:rPr>
              <w:t>Routine option exercise; tax withholding disposition (code F), not a discretionary sale</w:t>
            </w:r>
          </w:p>
        </w:tc>
      </w:tr>
      <w:tr>
        <w:tc>
          <w:tcPr>
            <w:tcW w:type="dxa" w:w="1440"/>
          </w:tcPr>
          <w:p>
            <w:r>
              <w:rPr>
                <w:rFonts w:ascii="Calibri" w:hAnsi="Calibri"/>
                <w:sz w:val="22"/>
              </w:rPr>
              <w:t>Cracas, Teresa C.</w:t>
            </w:r>
          </w:p>
        </w:tc>
        <w:tc>
          <w:tcPr>
            <w:tcW w:type="dxa" w:w="1440"/>
          </w:tcPr>
          <w:p>
            <w:r>
              <w:rPr>
                <w:rFonts w:ascii="Calibri" w:hAnsi="Calibri"/>
                <w:sz w:val="22"/>
              </w:rPr>
              <w:t>EVP, Chief Risk Officer</w:t>
            </w:r>
          </w:p>
        </w:tc>
        <w:tc>
          <w:tcPr>
            <w:tcW w:type="dxa" w:w="1440"/>
          </w:tcPr>
          <w:p>
            <w:r>
              <w:rPr>
                <w:rFonts w:ascii="Calibri" w:hAnsi="Calibri"/>
                <w:sz w:val="22"/>
              </w:rPr>
              <w:t>Option Exercise + Tax Withholding</w:t>
            </w:r>
          </w:p>
        </w:tc>
        <w:tc>
          <w:tcPr>
            <w:tcW w:type="dxa" w:w="1440"/>
          </w:tcPr>
          <w:p>
            <w:r>
              <w:rPr>
                <w:rFonts w:ascii="Calibri" w:hAnsi="Calibri"/>
                <w:sz w:val="22"/>
              </w:rPr>
              <w:t>15,386 exercised; 10,321 withheld</w:t>
            </w:r>
          </w:p>
        </w:tc>
        <w:tc>
          <w:tcPr>
            <w:tcW w:type="dxa" w:w="1440"/>
          </w:tcPr>
          <w:p>
            <w:r>
              <w:rPr>
                <w:rFonts w:ascii="Calibri" w:hAnsi="Calibri"/>
                <w:sz w:val="22"/>
              </w:rPr>
              <w:t>Apr 29, 2026</w:t>
            </w:r>
          </w:p>
        </w:tc>
        <w:tc>
          <w:tcPr>
            <w:tcW w:type="dxa" w:w="1440"/>
          </w:tcPr>
          <w:p>
            <w:r>
              <w:rPr>
                <w:rFonts w:ascii="Calibri" w:hAnsi="Calibri"/>
                <w:sz w:val="22"/>
              </w:rPr>
              <w:t>Routine option exercise; tax withholding disposition (code F), not a discretionary sale</w:t>
            </w:r>
          </w:p>
        </w:tc>
      </w:tr>
      <w:tr>
        <w:tc>
          <w:tcPr>
            <w:tcW w:type="dxa" w:w="1440"/>
          </w:tcPr>
          <w:p>
            <w:r>
              <w:rPr>
                <w:rFonts w:ascii="Calibri" w:hAnsi="Calibri"/>
                <w:sz w:val="22"/>
              </w:rPr>
              <w:t>Brown, Roger A.</w:t>
            </w:r>
          </w:p>
        </w:tc>
        <w:tc>
          <w:tcPr>
            <w:tcW w:type="dxa" w:w="1440"/>
          </w:tcPr>
          <w:p>
            <w:r>
              <w:rPr>
                <w:rFonts w:ascii="Calibri" w:hAnsi="Calibri"/>
                <w:sz w:val="22"/>
              </w:rPr>
              <w:t>Sr. VP, COO (Subsidiary)</w:t>
            </w:r>
          </w:p>
        </w:tc>
        <w:tc>
          <w:tcPr>
            <w:tcW w:type="dxa" w:w="1440"/>
          </w:tcPr>
          <w:p>
            <w:r>
              <w:rPr>
                <w:rFonts w:ascii="Calibri" w:hAnsi="Calibri"/>
                <w:sz w:val="22"/>
              </w:rPr>
              <w:t>Option Exercise + Tax Withholding + Gift</w:t>
            </w:r>
          </w:p>
        </w:tc>
        <w:tc>
          <w:tcPr>
            <w:tcW w:type="dxa" w:w="1440"/>
          </w:tcPr>
          <w:p>
            <w:r>
              <w:rPr>
                <w:rFonts w:ascii="Calibri" w:hAnsi="Calibri"/>
                <w:sz w:val="22"/>
              </w:rPr>
              <w:t>6,900 exercised; 4,685 withheld; 2,500 gifted</w:t>
            </w:r>
          </w:p>
        </w:tc>
        <w:tc>
          <w:tcPr>
            <w:tcW w:type="dxa" w:w="1440"/>
          </w:tcPr>
          <w:p>
            <w:r>
              <w:rPr>
                <w:rFonts w:ascii="Calibri" w:hAnsi="Calibri"/>
                <w:sz w:val="22"/>
              </w:rPr>
              <w:t>May 5, 2026</w:t>
            </w:r>
          </w:p>
        </w:tc>
        <w:tc>
          <w:tcPr>
            <w:tcW w:type="dxa" w:w="1440"/>
          </w:tcPr>
          <w:p>
            <w:r>
              <w:rPr>
                <w:rFonts w:ascii="Calibri" w:hAnsi="Calibri"/>
                <w:sz w:val="22"/>
              </w:rPr>
              <w:t>Option exercise with tax withholding (code F) and charitable gift (code G); no discretionary open-market sale</w:t>
            </w:r>
          </w:p>
        </w:tc>
      </w:tr>
      <w:tr>
        <w:tc>
          <w:tcPr>
            <w:tcW w:type="dxa" w:w="1440"/>
          </w:tcPr>
          <w:p>
            <w:r>
              <w:rPr>
                <w:rFonts w:ascii="Calibri" w:hAnsi="Calibri"/>
                <w:sz w:val="22"/>
              </w:rPr>
              <w:t>Hogan, Thomas C.</w:t>
            </w:r>
          </w:p>
        </w:tc>
        <w:tc>
          <w:tcPr>
            <w:tcW w:type="dxa" w:w="1440"/>
          </w:tcPr>
          <w:p>
            <w:r>
              <w:rPr>
                <w:rFonts w:ascii="Calibri" w:hAnsi="Calibri"/>
                <w:sz w:val="22"/>
              </w:rPr>
              <w:t>EVP, CLO &amp; Corporate Secretary</w:t>
            </w:r>
          </w:p>
        </w:tc>
        <w:tc>
          <w:tcPr>
            <w:tcW w:type="dxa" w:w="1440"/>
          </w:tcPr>
          <w:p>
            <w:r>
              <w:rPr>
                <w:rFonts w:ascii="Calibri" w:hAnsi="Calibri"/>
                <w:sz w:val="22"/>
              </w:rPr>
              <w:t>Option Exercise + Tax Withholding</w:t>
            </w:r>
          </w:p>
        </w:tc>
        <w:tc>
          <w:tcPr>
            <w:tcW w:type="dxa" w:w="1440"/>
          </w:tcPr>
          <w:p>
            <w:r>
              <w:rPr>
                <w:rFonts w:ascii="Calibri" w:hAnsi="Calibri"/>
                <w:sz w:val="22"/>
              </w:rPr>
              <w:t>1,444 exercised; 219 withheld</w:t>
            </w:r>
          </w:p>
        </w:tc>
        <w:tc>
          <w:tcPr>
            <w:tcW w:type="dxa" w:w="1440"/>
          </w:tcPr>
          <w:p>
            <w:r>
              <w:rPr>
                <w:rFonts w:ascii="Calibri" w:hAnsi="Calibri"/>
                <w:sz w:val="22"/>
              </w:rPr>
              <w:t>May 7, 2026</w:t>
            </w:r>
          </w:p>
        </w:tc>
        <w:tc>
          <w:tcPr>
            <w:tcW w:type="dxa" w:w="1440"/>
          </w:tcPr>
          <w:p>
            <w:r>
              <w:rPr>
                <w:rFonts w:ascii="Calibri" w:hAnsi="Calibri"/>
                <w:sz w:val="22"/>
              </w:rPr>
              <w:t>Routine option exercise; tax withholding disposition (code F), not a discretionary sale</w:t>
            </w:r>
          </w:p>
        </w:tc>
      </w:tr>
      <w:tr>
        <w:tc>
          <w:tcPr>
            <w:tcW w:type="dxa" w:w="1440"/>
          </w:tcPr>
          <w:p>
            <w:r>
              <w:rPr>
                <w:rFonts w:ascii="Calibri" w:hAnsi="Calibri"/>
                <w:sz w:val="22"/>
              </w:rPr>
              <w:t>Fu, Luyang</w:t>
            </w:r>
          </w:p>
        </w:tc>
        <w:tc>
          <w:tcPr>
            <w:tcW w:type="dxa" w:w="1440"/>
          </w:tcPr>
          <w:p>
            <w:r>
              <w:rPr>
                <w:rFonts w:ascii="Calibri" w:hAnsi="Calibri"/>
                <w:sz w:val="22"/>
              </w:rPr>
              <w:t>Sr. VP, Chief Actuary</w:t>
            </w:r>
          </w:p>
        </w:tc>
        <w:tc>
          <w:tcPr>
            <w:tcW w:type="dxa" w:w="1440"/>
          </w:tcPr>
          <w:p>
            <w:r>
              <w:rPr>
                <w:rFonts w:ascii="Calibri" w:hAnsi="Calibri"/>
                <w:sz w:val="22"/>
              </w:rPr>
              <w:t>Option Exercise + Tax Withholding</w:t>
            </w:r>
          </w:p>
        </w:tc>
        <w:tc>
          <w:tcPr>
            <w:tcW w:type="dxa" w:w="1440"/>
          </w:tcPr>
          <w:p>
            <w:r>
              <w:rPr>
                <w:rFonts w:ascii="Calibri" w:hAnsi="Calibri"/>
                <w:sz w:val="22"/>
              </w:rPr>
              <w:t>957 exercised (Apr); 99 withheld (May)</w:t>
            </w:r>
          </w:p>
        </w:tc>
        <w:tc>
          <w:tcPr>
            <w:tcW w:type="dxa" w:w="1440"/>
          </w:tcPr>
          <w:p>
            <w:r>
              <w:rPr>
                <w:rFonts w:ascii="Calibri" w:hAnsi="Calibri"/>
                <w:sz w:val="22"/>
              </w:rPr>
              <w:t>Apr 29 &amp; May 28, 2026</w:t>
            </w:r>
          </w:p>
        </w:tc>
        <w:tc>
          <w:tcPr>
            <w:tcW w:type="dxa" w:w="1440"/>
          </w:tcPr>
          <w:p>
            <w:r>
              <w:rPr>
                <w:rFonts w:ascii="Calibri" w:hAnsi="Calibri"/>
                <w:sz w:val="22"/>
              </w:rPr>
              <w:t>Routine option exercises; tax withholding dispositions (code F), not discretionary sales</w:t>
            </w:r>
          </w:p>
        </w:tc>
      </w:tr>
    </w:tbl>
    <w:p>
      <w:r>
        <w:rPr>
          <w:rFonts w:ascii="Calibri" w:hAnsi="Calibri"/>
          <w:color w:val="525866"/>
          <w:sz w:val="22"/>
        </w:rPr>
        <w:t>No open-market purchases (Form 4 code P) or discretionary open-market sales (Form 4 code S) were recorded for CINF insiders in the April 27 – July 26, 2026 window. All transactions are option exercises (code M) with associated tax-withholding share dispositions (code F) — standard compensation plan mechanics that carry no informational signal about management's view of the stock. The Schiff family trust transfer (code J, Director Charles Schiff) is an estate/trust transfer, not a market transaction.</w:t>
      </w:r>
    </w:p>
    <w:p>
      <w:r>
        <w:rPr>
          <w:rFonts w:ascii="Calibri" w:hAnsi="Calibri"/>
          <w:i/>
          <w:color w:val="525866"/>
          <w:sz w:val="22"/>
        </w:rPr>
        <w:t>Source: SEC Form 4 Filings Database (Insider Transaction Data). Filing dates April 29 – June 10, 2026.</w:t>
      </w:r>
    </w:p>
    <w:p>
      <w:r>
        <w:br w:type="page"/>
      </w:r>
    </w:p>
    <w:p>
      <w:pPr>
        <w:pStyle w:val="Heading2"/>
      </w:pPr>
      <w:r>
        <w:rPr>
          <w:rFonts w:ascii="Calibri" w:hAnsi="Calibri"/>
          <w:b/>
          <w:color w:val="3B4259"/>
          <w:sz w:val="28"/>
        </w:rPr>
        <w:t>Peer Commentary &amp; Read-Through</w:t>
      </w:r>
    </w:p>
    <w:p>
      <w:r>
        <w:rPr>
          <w:rFonts w:ascii="Calibri" w:hAnsi="Calibri"/>
          <w:b/>
          <w:color w:val="525866"/>
          <w:sz w:val="22"/>
        </w:rPr>
        <w:t xml:space="preserve">Key Takeaway: </w:t>
      </w:r>
      <w:r>
        <w:rPr>
          <w:rFonts w:ascii="Calibri" w:hAnsi="Calibri"/>
          <w:color w:val="525866"/>
          <w:sz w:val="22"/>
        </w:rPr>
        <w:t xml:space="preserve">Peers reporting Q2 2026 results collectively signal a </w:t>
      </w:r>
      <w:r>
        <w:rPr>
          <w:rFonts w:ascii="Calibri" w:hAnsi="Calibri"/>
          <w:b/>
          <w:color w:val="525866"/>
          <w:sz w:val="22"/>
        </w:rPr>
        <w:t>benign catastrophe quarter, strong investment income, and continued favorable reserve development</w:t>
      </w:r>
      <w:r>
        <w:rPr>
          <w:rFonts w:ascii="Calibri" w:hAnsi="Calibri"/>
          <w:color w:val="525866"/>
          <w:sz w:val="22"/>
        </w:rPr>
        <w:t xml:space="preserve"> — all positive read-throughs for CINF. The key risk read-through is the </w:t>
      </w:r>
      <w:r>
        <w:rPr>
          <w:rFonts w:ascii="Calibri" w:hAnsi="Calibri"/>
          <w:b/>
          <w:color w:val="525866"/>
          <w:sz w:val="22"/>
        </w:rPr>
        <w:t>accelerating softness in commercial property pricing and ongoing casualty loss cost inflation</w:t>
      </w:r>
      <w:r>
        <w:rPr>
          <w:rFonts w:ascii="Calibri" w:hAnsi="Calibri"/>
          <w:color w:val="525866"/>
          <w:sz w:val="22"/>
        </w:rPr>
        <w:t xml:space="preserve"> (CB: 6–7% primary, 9.5–12% excess annually; HIG: GL and commercial auto reserve additions), which directly challenge CINF's ability to maintain its combined ratio within the 92%–98% target range as pricing moderates.</w:t>
      </w:r>
    </w:p>
    <w:p>
      <w:r>
        <w:rPr>
          <w:rFonts w:ascii="Calibri" w:hAnsi="Calibri"/>
          <w:b/>
          <w:color w:val="525866"/>
          <w:sz w:val="22"/>
        </w:rPr>
        <w:t xml:space="preserve">Note: </w:t>
      </w:r>
      <w:r>
        <w:rPr>
          <w:rFonts w:ascii="Calibri" w:hAnsi="Calibri"/>
          <w:i/>
          <w:color w:val="525866"/>
          <w:sz w:val="22"/>
        </w:rPr>
        <w:t>All commentary below is from peers' Q2 2026 earnings releases and calls (July 2026), pertaining to the current Q2 2026 reporting period. No prior-quarter stale commentary is included.</w:t>
      </w:r>
    </w:p>
    <w:p>
      <w:pPr>
        <w:pStyle w:val="Heading3"/>
      </w:pPr>
      <w:r>
        <w:rPr>
          <w:rFonts w:ascii="Calibri" w:hAnsi="Calibri"/>
          <w:b/>
          <w:color w:val="3B4259"/>
          <w:sz w:val="24"/>
        </w:rPr>
        <w:t>1. Travelers (TRV) — Q2 2026 Earnings (Reported July 17, 2026)</w:t>
      </w:r>
    </w:p>
    <w:p>
      <w:r>
        <w:rPr>
          <w:rFonts w:ascii="Calibri" w:hAnsi="Calibri"/>
          <w:b/>
          <w:color w:val="525866"/>
          <w:sz w:val="22"/>
        </w:rPr>
        <w:t>Pricing &amp; Rate:</w:t>
      </w:r>
      <w:r>
        <w:rPr>
          <w:rFonts w:ascii="Calibri" w:hAnsi="Calibri"/>
          <w:color w:val="525866"/>
          <w:sz w:val="22"/>
        </w:rPr>
        <w:t xml:space="preserve"> TRV's Business Insurance renewal premium change (RPC) was 4.8% in Q2, with core middle market at 6.1% and small commercial select at 9.4%. Casualty pricing remained healthy, but commercial property was described as "incrementally softer." In Personal Insurance, auto RPC was flat (reflecting improved profitability) and homeowners RPC was 6.6%, moderating as intended. TRV explicitly stated it would not lower prices to gain share, calling it a "fool's errand."</w:t>
      </w:r>
    </w:p>
    <w:p>
      <w:r>
        <w:rPr>
          <w:rFonts w:ascii="Calibri" w:hAnsi="Calibri"/>
          <w:b/>
          <w:color w:val="525866"/>
          <w:sz w:val="22"/>
        </w:rPr>
        <w:t>CINF Read-Through:</w:t>
      </w:r>
      <w:r>
        <w:rPr>
          <w:rFonts w:ascii="Calibri" w:hAnsi="Calibri"/>
          <w:color w:val="525866"/>
          <w:sz w:val="22"/>
        </w:rPr>
        <w:t xml:space="preserve"> TRV's stable-to-moderating pricing environment is broadly consistent with CINF's Q1 commentary (commercial lines at "high end of low-single-digit"). The moderation in personal lines pricing due to strong profitability aligns with CINF's expectation that personal lines is "returning to normal." TRV's discipline on not cutting prices to gain share mirrors CINF's stated philosophy.</w:t>
      </w:r>
    </w:p>
    <w:p>
      <w:r>
        <w:rPr>
          <w:rFonts w:ascii="Calibri" w:hAnsi="Calibri"/>
          <w:b/>
          <w:color w:val="525866"/>
          <w:sz w:val="22"/>
        </w:rPr>
        <w:t>Premium Growth:</w:t>
      </w:r>
      <w:r>
        <w:rPr>
          <w:rFonts w:ascii="Calibri" w:hAnsi="Calibri"/>
          <w:color w:val="525866"/>
          <w:sz w:val="22"/>
        </w:rPr>
        <w:t xml:space="preserve"> TRV's Business Insurance NWP reached a record $6.0B (+5% YoY), with new business a record $805M (+8%). Bond &amp; Specialty NWP grew 14% to a record $1.2B. Personal Insurance NWP was $4.3B. Notably, TRV deliberately shed national property premium due to inadequate pricing, leading to a decline in that specific line.</w:t>
      </w:r>
    </w:p>
    <w:p>
      <w:r>
        <w:rPr>
          <w:rFonts w:ascii="Calibri" w:hAnsi="Calibri"/>
          <w:b/>
          <w:color w:val="525866"/>
          <w:sz w:val="22"/>
        </w:rPr>
        <w:t>CINF Read-Through:</w:t>
      </w:r>
      <w:r>
        <w:rPr>
          <w:rFonts w:ascii="Calibri" w:hAnsi="Calibri"/>
          <w:color w:val="525866"/>
          <w:sz w:val="22"/>
        </w:rPr>
        <w:t xml:space="preserve"> TRV's strong new business momentum in commercial lines is a positive signal for the overall market demand environment. CINF's smaller average account size and independent agency model may insulate it somewhat from the large-account property pricing pressure that TRV is managing.</w:t>
      </w:r>
    </w:p>
    <w:p>
      <w:r>
        <w:rPr>
          <w:rFonts w:ascii="Calibri" w:hAnsi="Calibri"/>
          <w:b/>
          <w:color w:val="525866"/>
          <w:sz w:val="22"/>
        </w:rPr>
        <w:t>Loss Trends &amp; Reserves:</w:t>
      </w:r>
      <w:r>
        <w:rPr>
          <w:rFonts w:ascii="Calibri" w:hAnsi="Calibri"/>
          <w:color w:val="525866"/>
          <w:sz w:val="22"/>
        </w:rPr>
        <w:t xml:space="preserve"> TRV reported $578M of net favorable prior-year development (PYD) across all segments, including $319M in Business Insurance (driven by workers' comp and commercial property). Importantly, TRV noted "no pressure in casualty lines, including umbrella and commercial auto" in Q2, and continues to carry an "uncertainty provision" in reserves for 2026. The auto underlying combined ratio improved 3+ points YoY with "favorable frequency and severity."</w:t>
      </w:r>
    </w:p>
    <w:p>
      <w:r>
        <w:rPr>
          <w:rFonts w:ascii="Calibri" w:hAnsi="Calibri"/>
          <w:b/>
          <w:color w:val="525866"/>
          <w:sz w:val="22"/>
        </w:rPr>
        <w:t>CINF Read-Through:</w:t>
      </w:r>
      <w:r>
        <w:rPr>
          <w:rFonts w:ascii="Calibri" w:hAnsi="Calibri"/>
          <w:color w:val="525866"/>
          <w:sz w:val="22"/>
        </w:rPr>
        <w:t xml:space="preserve"> TRV's favorable PYD and absence of casualty pressure in Q2 is a positive signal for CINF's reserve adequacy. However, TRV's "uncertainty provision" language mirrors CINF's own cautious stance on social inflation — both companies are reserving conservatively despite favorable near-term development.</w:t>
      </w:r>
    </w:p>
    <w:p>
      <w:r>
        <w:rPr>
          <w:rFonts w:ascii="Calibri" w:hAnsi="Calibri"/>
          <w:b/>
          <w:color w:val="525866"/>
          <w:sz w:val="22"/>
        </w:rPr>
        <w:t>Catastrophe Losses:</w:t>
      </w:r>
      <w:r>
        <w:rPr>
          <w:rFonts w:ascii="Calibri" w:hAnsi="Calibri"/>
          <w:color w:val="525866"/>
          <w:sz w:val="22"/>
        </w:rPr>
        <w:t xml:space="preserve"> TRV reported after-tax cat losses of "a little more than $400M" in Q2, described as "modest" in Personal Insurance. TRV increased its Cat bond from $575M to $750M and adjusted its reinsurance structure, choosing not to renew the personal lines Cat XOL treaty.</w:t>
      </w:r>
    </w:p>
    <w:p>
      <w:r>
        <w:rPr>
          <w:rFonts w:ascii="Calibri" w:hAnsi="Calibri"/>
          <w:b/>
          <w:color w:val="525866"/>
          <w:sz w:val="22"/>
        </w:rPr>
        <w:t>CINF Read-Through:</w:t>
      </w:r>
      <w:r>
        <w:rPr>
          <w:rFonts w:ascii="Calibri" w:hAnsi="Calibri"/>
          <w:color w:val="525866"/>
          <w:sz w:val="22"/>
        </w:rPr>
        <w:t xml:space="preserve"> TRV's cat losses provide a benchmark for Q2 severity. At ~$400M after-tax for a company with ~$11.5B in NWP, this implies a cat loss ratio of roughly 3.5–4.0 pts — a manageable level that, if proportionally applicable to CINF's ~$2.9B NWP, would suggest cat losses in the $100–120M range for CINF, broadly consistent with consensus expectations.</w:t>
      </w:r>
    </w:p>
    <w:p>
      <w:r>
        <w:rPr>
          <w:rFonts w:ascii="Calibri" w:hAnsi="Calibri"/>
          <w:b/>
          <w:color w:val="525866"/>
          <w:sz w:val="22"/>
        </w:rPr>
        <w:t>Investment Income:</w:t>
      </w:r>
      <w:r>
        <w:rPr>
          <w:rFonts w:ascii="Calibri" w:hAnsi="Calibri"/>
          <w:color w:val="525866"/>
          <w:sz w:val="22"/>
        </w:rPr>
        <w:t xml:space="preserve"> TRV's after-tax NII increased 14% to $883M, with new money yields ~90 bps above the embedded portfolio yield. TRV guided Q3 NII to ~$840M and Q4 to ~$870M, with continued growth expected beyond 2026.</w:t>
      </w:r>
    </w:p>
    <w:p>
      <w:r>
        <w:rPr>
          <w:rFonts w:ascii="Calibri" w:hAnsi="Calibri"/>
          <w:b/>
          <w:color w:val="525866"/>
          <w:sz w:val="22"/>
        </w:rPr>
        <w:t>CINF Read-Through:</w:t>
      </w:r>
      <w:r>
        <w:rPr>
          <w:rFonts w:ascii="Calibri" w:hAnsi="Calibri"/>
          <w:color w:val="525866"/>
          <w:sz w:val="22"/>
        </w:rPr>
        <w:t xml:space="preserve"> TRV's NII trajectory is a strong positive read-through for CINF. CINF's Q1 pretax average yield of 5.02% and new money yield of 5.37% suggest a similar structural tailwind, supporting continued investment income growth above the 11.7% five-year CAGR target.</w:t>
      </w:r>
    </w:p>
    <w:p>
      <w:r>
        <w:rPr>
          <w:rFonts w:ascii="Calibri" w:hAnsi="Calibri"/>
          <w:b/>
          <w:color w:val="525866"/>
          <w:sz w:val="22"/>
        </w:rPr>
        <w:t>Limitations:</w:t>
      </w:r>
      <w:r>
        <w:rPr>
          <w:rFonts w:ascii="Calibri" w:hAnsi="Calibri"/>
          <w:color w:val="525866"/>
          <w:sz w:val="22"/>
        </w:rPr>
        <w:t xml:space="preserve"> TRV is significantly larger than CINF (~4x NWP) and has a more diversified geographic and product footprint, including a substantial surety business. TRV's national property exposure and its decision to shed that premium is not directly comparable to CINF's more regionally concentrated book.</w:t>
      </w:r>
    </w:p>
    <w:p>
      <w:pPr>
        <w:pStyle w:val="Heading3"/>
      </w:pPr>
      <w:r>
        <w:rPr>
          <w:rFonts w:ascii="Calibri" w:hAnsi="Calibri"/>
          <w:b/>
          <w:color w:val="3B4259"/>
          <w:sz w:val="24"/>
        </w:rPr>
        <w:t>2. Chubb (CB) — Q2 2026 Earnings (Reported July 21–22, 2026)</w:t>
      </w:r>
    </w:p>
    <w:p>
      <w:r>
        <w:rPr>
          <w:rFonts w:ascii="Calibri" w:hAnsi="Calibri"/>
          <w:b/>
          <w:color w:val="525866"/>
          <w:sz w:val="22"/>
        </w:rPr>
        <w:t>Pricing &amp; Rate:</w:t>
      </w:r>
      <w:r>
        <w:rPr>
          <w:rFonts w:ascii="Calibri" w:hAnsi="Calibri"/>
          <w:color w:val="525866"/>
          <w:sz w:val="22"/>
        </w:rPr>
        <w:t xml:space="preserve"> CB delivered the most pointed industry warning on pricing: "Soft market conditions have begun to spread beyond property to more casualty lines, particularly in [large account and middle market]." CB reported North America commercial P&amp;C pricing (ex-financial lines and workers' comp) up only 1.3%, with rates down 1.4% and exposure up 2.7%. Property pricing was down ~6% overall (rates down 10.5%), with shared/layered major and specialty property down 12%. North America casualty pricing was up 7.1% (rates +6.4%), but CB explicitly stated that "pricing in numerous areas of casualty is failing to keep pace with loss costs, which are hardly benign." U.S. casualty loss costs are rising at "6 to 7% for primary casualty and 9.5 to 12% for excess casualty" annually. Financial lines remain soft, with "naive newer players" and MGAs underwriting at inadequate prices.</w:t>
      </w:r>
    </w:p>
    <w:p>
      <w:r>
        <w:rPr>
          <w:rFonts w:ascii="Calibri" w:hAnsi="Calibri"/>
          <w:b/>
          <w:color w:val="525866"/>
          <w:sz w:val="22"/>
        </w:rPr>
        <w:t>CINF Read-Through:</w:t>
      </w:r>
      <w:r>
        <w:rPr>
          <w:rFonts w:ascii="Calibri" w:hAnsi="Calibri"/>
          <w:color w:val="525866"/>
          <w:sz w:val="22"/>
        </w:rPr>
        <w:t xml:space="preserve"> CB's casualty loss cost inflation data (6–7% primary, 9.5–12% excess) is the most important quantitative read-through for CINF's casualty reserves. CINF's Q1 commentary that it is "not out of the woods" on social inflation is validated by CB's data. The commercial property pricing softness (rates down 10.5% in large/shared accounts) is a headwind for CINF's commercial property lines, though CINF's smaller average account size may provide some insulation.</w:t>
      </w:r>
    </w:p>
    <w:p>
      <w:r>
        <w:rPr>
          <w:rFonts w:ascii="Calibri" w:hAnsi="Calibri"/>
          <w:b/>
          <w:color w:val="525866"/>
          <w:sz w:val="22"/>
        </w:rPr>
        <w:t>Premium Growth:</w:t>
      </w:r>
      <w:r>
        <w:rPr>
          <w:rFonts w:ascii="Calibri" w:hAnsi="Calibri"/>
          <w:color w:val="525866"/>
          <w:sz w:val="22"/>
        </w:rPr>
        <w:t xml:space="preserve"> CB's global P&amp;C premiums were up 3% (6.3% ex-large account North America property). North America commercial was down 2.3% due to deliberate shedding of large property premium. High net worth personal lines grew 6% with 90% renewal retention. International retail grew ~12% (6% constant dollar).</w:t>
      </w:r>
    </w:p>
    <w:p>
      <w:r>
        <w:rPr>
          <w:rFonts w:ascii="Calibri" w:hAnsi="Calibri"/>
          <w:b/>
          <w:color w:val="525866"/>
          <w:sz w:val="22"/>
        </w:rPr>
        <w:t>CINF Read-Through:</w:t>
      </w:r>
      <w:r>
        <w:rPr>
          <w:rFonts w:ascii="Calibri" w:hAnsi="Calibri"/>
          <w:color w:val="525866"/>
          <w:sz w:val="22"/>
        </w:rPr>
        <w:t xml:space="preserve"> CB's deliberate premium reduction in large commercial property is a strategic choice not directly applicable to CINF's smaller-account book. CINF's high net worth personal lines (Cincinnati Private Client, ~60% of personal lines premiums) may benefit from similar dynamics to CB's high net worth segment, which showed strong 6% growth and 90% retention.</w:t>
      </w:r>
    </w:p>
    <w:p>
      <w:r>
        <w:rPr>
          <w:rFonts w:ascii="Calibri" w:hAnsi="Calibri"/>
          <w:b/>
          <w:color w:val="525866"/>
          <w:sz w:val="22"/>
        </w:rPr>
        <w:t>Loss Trends &amp; Reserves:</w:t>
      </w:r>
      <w:r>
        <w:rPr>
          <w:rFonts w:ascii="Calibri" w:hAnsi="Calibri"/>
          <w:color w:val="525866"/>
          <w:sz w:val="22"/>
        </w:rPr>
        <w:t xml:space="preserve"> CB's P&amp;C underwriting income was over $1.9B (+19%) with a combined ratio of 83.8% (current accident year ex-cats: 82.2%). Favorable PYD was $441M (89% short-tail, 11% long-tail). CB's corporate run-off portfolio had adverse development of $158M, with over two-thirds from molestation-related claims. CB stated there is "zero evidence across the industry that loss costs have abated" and that they are "continuing to inflate at a steady rate." Short-tail loss trends are "bouncing around 4.5%."</w:t>
      </w:r>
    </w:p>
    <w:p>
      <w:r>
        <w:rPr>
          <w:rFonts w:ascii="Calibri" w:hAnsi="Calibri"/>
          <w:b/>
          <w:color w:val="525866"/>
          <w:sz w:val="22"/>
        </w:rPr>
        <w:t>CINF Read-Through:</w:t>
      </w:r>
      <w:r>
        <w:rPr>
          <w:rFonts w:ascii="Calibri" w:hAnsi="Calibri"/>
          <w:color w:val="525866"/>
          <w:sz w:val="22"/>
        </w:rPr>
        <w:t xml:space="preserve"> CB's strong underlying underwriting performance and favorable PYD are positive signals for the industry. However, CB's explicit statement that loss costs show "zero evidence" of abating is a direct warning for CINF's casualty pricing adequacy. CINF's 30+ year track record of favorable reserve development provides some comfort, but the industry-wide loss cost trend is a structural headwind.</w:t>
      </w:r>
    </w:p>
    <w:p>
      <w:r>
        <w:rPr>
          <w:rFonts w:ascii="Calibri" w:hAnsi="Calibri"/>
          <w:b/>
          <w:color w:val="525866"/>
          <w:sz w:val="22"/>
        </w:rPr>
        <w:t>Catastrophe Losses:</w:t>
      </w:r>
      <w:r>
        <w:rPr>
          <w:rFonts w:ascii="Calibri" w:hAnsi="Calibri"/>
          <w:color w:val="525866"/>
          <w:sz w:val="22"/>
        </w:rPr>
        <w:t xml:space="preserve"> CB reported pre-tax cat losses of $475M, primarily from U.S. weather events. This is a meaningful but not extreme cat quarter for a company of CB's scale (~$50B+ in NWP equivalent).</w:t>
      </w:r>
    </w:p>
    <w:p>
      <w:r>
        <w:rPr>
          <w:rFonts w:ascii="Calibri" w:hAnsi="Calibri"/>
          <w:b/>
          <w:color w:val="525866"/>
          <w:sz w:val="22"/>
        </w:rPr>
        <w:t>Investment Income:</w:t>
      </w:r>
      <w:r>
        <w:rPr>
          <w:rFonts w:ascii="Calibri" w:hAnsi="Calibri"/>
          <w:color w:val="525866"/>
          <w:sz w:val="22"/>
        </w:rPr>
        <w:t xml:space="preserve"> CB's adjusted NII was a record $1.88B (+11%), with a fixed income portfolio yield of 5.1% and new money rate of 5.5%. CB noted that "longer-term yields remain exposed to structural pressures" including rising federal deficits and potential foreign rotation out of U.S. assets.</w:t>
      </w:r>
    </w:p>
    <w:p>
      <w:r>
        <w:rPr>
          <w:rFonts w:ascii="Calibri" w:hAnsi="Calibri"/>
          <w:b/>
          <w:color w:val="525866"/>
          <w:sz w:val="22"/>
        </w:rPr>
        <w:t>CINF Read-Through:</w:t>
      </w:r>
      <w:r>
        <w:rPr>
          <w:rFonts w:ascii="Calibri" w:hAnsi="Calibri"/>
          <w:color w:val="525866"/>
          <w:sz w:val="22"/>
        </w:rPr>
        <w:t xml:space="preserve"> CB's 5.5% new money rate vs. 5.1% portfolio yield is structurally similar to CINF's 5.37% new money yield vs. ~5.0% portfolio yield, confirming the investment income tailwind. CB's macro warning on long-term yields is relevant to CINF's bond portfolio valuation (CINF had a $401M net unrealized loss on fixed maturities at Q1 end).</w:t>
      </w:r>
    </w:p>
    <w:p>
      <w:r>
        <w:rPr>
          <w:rFonts w:ascii="Calibri" w:hAnsi="Calibri"/>
          <w:b/>
          <w:color w:val="525866"/>
          <w:sz w:val="22"/>
        </w:rPr>
        <w:t>Limitations:</w:t>
      </w:r>
      <w:r>
        <w:rPr>
          <w:rFonts w:ascii="Calibri" w:hAnsi="Calibri"/>
          <w:color w:val="525866"/>
          <w:sz w:val="22"/>
        </w:rPr>
        <w:t xml:space="preserve"> CB is a globally diversified insurer with significant international operations (~90% of overseas general division is international retail) and a large high net worth personal lines franchise. CB's exposure to large account commercial property (which it is actively shedding) is proportionally much larger than CINF's. CB's run-off portfolio adverse development is specific to its historical book and not applicable to CINF.</w:t>
      </w:r>
    </w:p>
    <w:p>
      <w:pPr>
        <w:pStyle w:val="Heading3"/>
      </w:pPr>
      <w:r>
        <w:rPr>
          <w:rFonts w:ascii="Calibri" w:hAnsi="Calibri"/>
          <w:b/>
          <w:color w:val="3B4259"/>
          <w:sz w:val="24"/>
        </w:rPr>
        <w:t>3. W.R. Berkley (WRB) — Q2 2026 Earnings (Reported July 20, 2026)</w:t>
      </w:r>
    </w:p>
    <w:p>
      <w:r>
        <w:rPr>
          <w:rFonts w:ascii="Calibri" w:hAnsi="Calibri"/>
          <w:b/>
          <w:color w:val="525866"/>
          <w:sz w:val="22"/>
        </w:rPr>
        <w:t>Pricing &amp; Rate:</w:t>
      </w:r>
      <w:r>
        <w:rPr>
          <w:rFonts w:ascii="Calibri" w:hAnsi="Calibri"/>
          <w:color w:val="525866"/>
          <w:sz w:val="22"/>
        </w:rPr>
        <w:t xml:space="preserve"> WRB reported a rate increase ex-workers' comp of 3.8% for Q2, consistent with prior expectations. WRB described the market as "ever more fragmented by product line," with the greatest pricing irrationality in shared/layered commercial property, which WRB called "particularly concerning." The casualty market was described as "offering greater discipline" overall, with isolated pockets of concern in habitational and liquor lines (rates being cut 20–30%). WRB noted that commercial auto rates are "up a lot" even as exposure is "coming down considerably." WRB is not seeing a loosening of terms and conditions, characterizing the competitive dynamic as primarily a "rate conversation."</w:t>
      </w:r>
    </w:p>
    <w:p>
      <w:r>
        <w:rPr>
          <w:rFonts w:ascii="Calibri" w:hAnsi="Calibri"/>
          <w:b/>
          <w:color w:val="525866"/>
          <w:sz w:val="22"/>
        </w:rPr>
        <w:t>CINF Read-Through:</w:t>
      </w:r>
      <w:r>
        <w:rPr>
          <w:rFonts w:ascii="Calibri" w:hAnsi="Calibri"/>
          <w:color w:val="525866"/>
          <w:sz w:val="22"/>
        </w:rPr>
        <w:t xml:space="preserve"> WRB's 3.8% rate increase ex-comp is directionally consistent with CINF's Q1 commercial lines pricing at the "high end of low-single-digit" range. WRB's positive view on casualty discipline (outside of isolated pockets) is a mild positive for CINF's casualty book. The commercial property softness warning is directly applicable to CINF's commercial property lines.</w:t>
      </w:r>
    </w:p>
    <w:p>
      <w:r>
        <w:rPr>
          <w:rFonts w:ascii="Calibri" w:hAnsi="Calibri"/>
          <w:b/>
          <w:color w:val="525866"/>
          <w:sz w:val="22"/>
        </w:rPr>
        <w:t>Premium Growth:</w:t>
      </w:r>
      <w:r>
        <w:rPr>
          <w:rFonts w:ascii="Calibri" w:hAnsi="Calibri"/>
          <w:color w:val="525866"/>
          <w:sz w:val="22"/>
        </w:rPr>
        <w:t xml:space="preserve"> WRB's Insurance segment grew gross premiums written 5.4% to a record $3.8B and net premiums written 3.7% to a record $3.1B. The Reinsurance &amp; Monoline Excess segment saw NWP decline to $306M due to "heightened competition in both property and casualty lines." Renewal retention remained ~80%.</w:t>
      </w:r>
    </w:p>
    <w:p>
      <w:r>
        <w:rPr>
          <w:rFonts w:ascii="Calibri" w:hAnsi="Calibri"/>
          <w:b/>
          <w:color w:val="525866"/>
          <w:sz w:val="22"/>
        </w:rPr>
        <w:t>CINF Read-Through:</w:t>
      </w:r>
      <w:r>
        <w:rPr>
          <w:rFonts w:ascii="Calibri" w:hAnsi="Calibri"/>
          <w:color w:val="525866"/>
          <w:sz w:val="22"/>
        </w:rPr>
        <w:t xml:space="preserve"> WRB's Insurance segment growth of 3.7–5.4% is broadly consistent with CINF's expected Q2 NWP growth of ~6%. WRB's stable 80% renewal retention is a useful benchmark for CINF's own retention trends.</w:t>
      </w:r>
    </w:p>
    <w:p>
      <w:r>
        <w:rPr>
          <w:rFonts w:ascii="Calibri" w:hAnsi="Calibri"/>
          <w:b/>
          <w:color w:val="525866"/>
          <w:sz w:val="22"/>
        </w:rPr>
        <w:t>Loss Trends &amp; Reserves:</w:t>
      </w:r>
      <w:r>
        <w:rPr>
          <w:rFonts w:ascii="Calibri" w:hAnsi="Calibri"/>
          <w:color w:val="525866"/>
          <w:sz w:val="22"/>
        </w:rPr>
        <w:t xml:space="preserve"> WRB's current accident year loss ratio ex-cats was 59.6% (vs. 59.9% prior year), with the Insurance segment at 61% (flat vs. Q1 2026). WRB acknowledged social inflation as a topic that "has gotten the attention of many, including policymakers" but stated it cannot yet fully quantify the impact. WRB noted it "may feel as though there is more room in the pick than we recognized" — a cautious signal on reserve adequacy. WRB also highlighted AI adoption in underwriting, reporting "20%+ uplift in efficiency" from early implementations.</w:t>
      </w:r>
    </w:p>
    <w:p>
      <w:r>
        <w:rPr>
          <w:rFonts w:ascii="Calibri" w:hAnsi="Calibri"/>
          <w:b/>
          <w:color w:val="525866"/>
          <w:sz w:val="22"/>
        </w:rPr>
        <w:t>CINF Read-Through:</w:t>
      </w:r>
      <w:r>
        <w:rPr>
          <w:rFonts w:ascii="Calibri" w:hAnsi="Calibri"/>
          <w:color w:val="525866"/>
          <w:sz w:val="22"/>
        </w:rPr>
        <w:t xml:space="preserve"> WRB's stable current accident year loss ratio is a positive signal for the industry's underlying loss environment. WRB's cautious language on social inflation and reserve picks mirrors CINF's own stance. WRB's AI efficiency gains are relevant context for CINF's own AI Center of Excellence initiative.</w:t>
      </w:r>
    </w:p>
    <w:p>
      <w:r>
        <w:rPr>
          <w:rFonts w:ascii="Calibri" w:hAnsi="Calibri"/>
          <w:b/>
          <w:color w:val="525866"/>
          <w:sz w:val="22"/>
        </w:rPr>
        <w:t>Catastrophe Losses:</w:t>
      </w:r>
      <w:r>
        <w:rPr>
          <w:rFonts w:ascii="Calibri" w:hAnsi="Calibri"/>
          <w:color w:val="525866"/>
          <w:sz w:val="22"/>
        </w:rPr>
        <w:t xml:space="preserve"> WRB reported cat losses of $62M (2 loss ratio points) in Q2 2026, down from $99M (3.2 pts) in Q2 2025. WRB described Q2 as a "relatively benign cat quarter" but warned that "Mother Nature is lulling the property market into a false sense of comfort."</w:t>
      </w:r>
    </w:p>
    <w:p>
      <w:r>
        <w:rPr>
          <w:rFonts w:ascii="Calibri" w:hAnsi="Calibri"/>
          <w:b/>
          <w:color w:val="525866"/>
          <w:sz w:val="22"/>
        </w:rPr>
        <w:t>CINF Read-Through:</w:t>
      </w:r>
      <w:r>
        <w:rPr>
          <w:rFonts w:ascii="Calibri" w:hAnsi="Calibri"/>
          <w:color w:val="525866"/>
          <w:sz w:val="22"/>
        </w:rPr>
        <w:t xml:space="preserve"> WRB's $62M cat loss (2 pts) is the most directly comparable data point for CINF's Q2 cat experience, given WRB's similar U.S.-focused commercial lines book. This suggests a benign cat quarter that should allow CINF to report a combined ratio well within its 92%–98% target range, assuming no concentrated Midwest/Southeast storm activity in CINF's specific footprint.</w:t>
      </w:r>
    </w:p>
    <w:p>
      <w:r>
        <w:rPr>
          <w:rFonts w:ascii="Calibri" w:hAnsi="Calibri"/>
          <w:b/>
          <w:color w:val="525866"/>
          <w:sz w:val="22"/>
        </w:rPr>
        <w:t>Investment Income:</w:t>
      </w:r>
      <w:r>
        <w:rPr>
          <w:rFonts w:ascii="Calibri" w:hAnsi="Calibri"/>
          <w:color w:val="525866"/>
          <w:sz w:val="22"/>
        </w:rPr>
        <w:t xml:space="preserve"> WRB reported record quarterly pre-tax NII of $419M (+10.4% YoY), with core portfolio income up 13% to $371M. Operating cash flow was $800M (up from $700M in Q2 2025). The domestic book yield is 4.8% with new money rates "comfortably starting with a five." Portfolio duration is 3.2 years, below the 3.9-year average life of reserves.</w:t>
      </w:r>
    </w:p>
    <w:p>
      <w:r>
        <w:rPr>
          <w:rFonts w:ascii="Calibri" w:hAnsi="Calibri"/>
          <w:b/>
          <w:color w:val="525866"/>
          <w:sz w:val="22"/>
        </w:rPr>
        <w:t>CINF Read-Through:</w:t>
      </w:r>
      <w:r>
        <w:rPr>
          <w:rFonts w:ascii="Calibri" w:hAnsi="Calibri"/>
          <w:color w:val="525866"/>
          <w:sz w:val="22"/>
        </w:rPr>
        <w:t xml:space="preserve"> WRB's record NII and strong operating cash flow are direct positive read-throughs for CINF's investment income trajectory. The new money rate above book yield dynamic is identical to CINF's situation (5.37% new money vs. ~5.0% portfolio yield), confirming continued NII growth.</w:t>
      </w:r>
    </w:p>
    <w:p>
      <w:r>
        <w:rPr>
          <w:rFonts w:ascii="Calibri" w:hAnsi="Calibri"/>
          <w:b/>
          <w:color w:val="525866"/>
          <w:sz w:val="22"/>
        </w:rPr>
        <w:t>Limitations:</w:t>
      </w:r>
      <w:r>
        <w:rPr>
          <w:rFonts w:ascii="Calibri" w:hAnsi="Calibri"/>
          <w:color w:val="525866"/>
          <w:sz w:val="22"/>
        </w:rPr>
        <w:t xml:space="preserve"> WRB has a significant E&amp;S and reinsurance presence that differs from CINF's primarily admitted market focus. WRB's reinsurance segment decline is specific to its book and not applicable to CINF's Cincinnati Re operations, which have been growing. WRB's portfolio duration (3.2 years) is shorter than CINF's, reflecting different asset-liability management strategies.</w:t>
      </w:r>
    </w:p>
    <w:p>
      <w:pPr>
        <w:pStyle w:val="Heading3"/>
      </w:pPr>
      <w:r>
        <w:rPr>
          <w:rFonts w:ascii="Calibri" w:hAnsi="Calibri"/>
          <w:b/>
          <w:color w:val="3B4259"/>
          <w:sz w:val="24"/>
        </w:rPr>
        <w:t>4. Hartford Financial Services (HIG) — Q2 2026 Earnings (Reported July 23–24, 2026)</w:t>
      </w:r>
    </w:p>
    <w:p>
      <w:r>
        <w:rPr>
          <w:rFonts w:ascii="Calibri" w:hAnsi="Calibri"/>
          <w:b/>
          <w:color w:val="525866"/>
          <w:sz w:val="22"/>
        </w:rPr>
        <w:t>Pricing &amp; Rate:</w:t>
      </w:r>
      <w:r>
        <w:rPr>
          <w:rFonts w:ascii="Calibri" w:hAnsi="Calibri"/>
          <w:color w:val="525866"/>
          <w:sz w:val="22"/>
        </w:rPr>
        <w:t xml:space="preserve"> HIG's Business Insurance renewal written pricing ex-workers' comp was 5.8% in Q2, "relatively consistent" with Q1. Small commercial pricing was 7% (flat vs. Q1). Middle market ex-comp was 4.4% (down 130 bps), with declines across most lines but "still healthy in auto and GL." Global specialty improved 60 bps to 5.5%. Property pricing moderated, driven by large property, but small business package and middle market general industries held "fairly steady in the mid-single digits." HIG noted "increasing competition in the middle and large space, particularly on GL and workers' compensation" in Q2, which it expects to impact H2 growth if it persists. Personal Insurance: auto RPC was 5.5% and home was 10.4%.</w:t>
      </w:r>
    </w:p>
    <w:p>
      <w:r>
        <w:rPr>
          <w:rFonts w:ascii="Calibri" w:hAnsi="Calibri"/>
          <w:b/>
          <w:color w:val="525866"/>
          <w:sz w:val="22"/>
        </w:rPr>
        <w:t>CINF Read-Through:</w:t>
      </w:r>
      <w:r>
        <w:rPr>
          <w:rFonts w:ascii="Calibri" w:hAnsi="Calibri"/>
          <w:color w:val="525866"/>
          <w:sz w:val="22"/>
        </w:rPr>
        <w:t xml:space="preserve"> HIG's mid-single-digit pricing in small/middle market property is directly applicable to CINF's commercial property book, which skews toward smaller accounts. HIG's observation of increasing competition in middle/large GL and workers' comp is a warning for CINF's casualty lines, though CINF's smaller average account size may provide some buffer. HIG's personal lines pricing (auto 5.5%, home 10.4%) is broadly consistent with CINF's Q1 personal lines pricing at "high-single-digit."</w:t>
      </w:r>
    </w:p>
    <w:p>
      <w:r>
        <w:rPr>
          <w:rFonts w:ascii="Calibri" w:hAnsi="Calibri"/>
          <w:b/>
          <w:color w:val="525866"/>
          <w:sz w:val="22"/>
        </w:rPr>
        <w:t>Premium Growth:</w:t>
      </w:r>
      <w:r>
        <w:rPr>
          <w:rFonts w:ascii="Calibri" w:hAnsi="Calibri"/>
          <w:color w:val="525866"/>
          <w:sz w:val="22"/>
        </w:rPr>
        <w:t xml:space="preserve"> HIG's Business Insurance NWP grew 5%, with small business up 7% and middle/large up 4%. Global specialty grew 4%. Personal Insurance NWP declined 7% (auto -10%, home flat), with agency growth remaining strong at +7%. HIG's large property book is "relatively small" (~$200M full-year), and its shared/layered book in middle/large is now less than $25M.</w:t>
      </w:r>
    </w:p>
    <w:p>
      <w:r>
        <w:rPr>
          <w:rFonts w:ascii="Calibri" w:hAnsi="Calibri"/>
          <w:b/>
          <w:color w:val="525866"/>
          <w:sz w:val="22"/>
        </w:rPr>
        <w:t>CINF Read-Through:</w:t>
      </w:r>
      <w:r>
        <w:rPr>
          <w:rFonts w:ascii="Calibri" w:hAnsi="Calibri"/>
          <w:color w:val="525866"/>
          <w:sz w:val="22"/>
        </w:rPr>
        <w:t xml:space="preserve"> HIG's 5% Business Insurance NWP growth is consistent with CINF's expected ~6% NWP growth. HIG's personal lines NWP decline (driven by auto runoff) is less relevant to CINF, which has been growing personal lines at 15% (driven by Cincinnati Private Client). HIG's minimal large property exposure confirms that the pricing softness in that segment is concentrated in carriers with larger national accounts books.</w:t>
      </w:r>
    </w:p>
    <w:p>
      <w:r>
        <w:rPr>
          <w:rFonts w:ascii="Calibri" w:hAnsi="Calibri"/>
          <w:b/>
          <w:color w:val="525866"/>
          <w:sz w:val="22"/>
        </w:rPr>
        <w:t>Loss Trends &amp; Reserves:</w:t>
      </w:r>
      <w:r>
        <w:rPr>
          <w:rFonts w:ascii="Calibri" w:hAnsi="Calibri"/>
          <w:color w:val="525866"/>
          <w:sz w:val="22"/>
        </w:rPr>
        <w:t xml:space="preserve"> HIG's most important read-through for CINF is its reserve additions: HIG increased general liability reserves by $46M in Q2, primarily for higher frequency of large losses in excess casualty and umbrella lines across multiple accident years (2017, 2018, 2019, 2022, 2023). HIG also increased commercial auto liability reserves due to adverse development in accident years 2023–2024, driven by "higher severity than previously estimated," citing "increasing attorney representation and time limit demands." Workers' compensation continued to show favorability. The impact on forward loss trend from these reserve additions was described as "very minor" (tenths of basis points).</w:t>
      </w:r>
    </w:p>
    <w:p>
      <w:r>
        <w:rPr>
          <w:rFonts w:ascii="Calibri" w:hAnsi="Calibri"/>
          <w:b/>
          <w:color w:val="525866"/>
          <w:sz w:val="22"/>
        </w:rPr>
        <w:t>CINF Read-Through:</w:t>
      </w:r>
      <w:r>
        <w:rPr>
          <w:rFonts w:ascii="Calibri" w:hAnsi="Calibri"/>
          <w:color w:val="525866"/>
          <w:sz w:val="22"/>
        </w:rPr>
        <w:t xml:space="preserve"> HIG's GL and commercial auto reserve additions are the most important negative read-through for CINF. CINF's Q1 call explicitly flagged commercial auto as the "epicenter" of social inflation concerns, and HIG's data confirms that severity is worsening in accident years 2023–2024. CINF's 30+ year favorable development track record and conservative reserving (carried at 88th percentile of actuarial range) provide a buffer, but the industry-wide trend is a risk. The favorable workers' comp development at HIG is a mild positive for CINF's workers' comp lines.</w:t>
      </w:r>
    </w:p>
    <w:p>
      <w:r>
        <w:rPr>
          <w:rFonts w:ascii="Calibri" w:hAnsi="Calibri"/>
          <w:b/>
          <w:color w:val="525866"/>
          <w:sz w:val="22"/>
        </w:rPr>
        <w:t>Catastrophe Losses:</w:t>
      </w:r>
      <w:r>
        <w:rPr>
          <w:rFonts w:ascii="Calibri" w:hAnsi="Calibri"/>
          <w:color w:val="525866"/>
          <w:sz w:val="22"/>
        </w:rPr>
        <w:t xml:space="preserve"> HIG's P&amp;C current accident year cat losses were $222M pre-tax in Q2 2026 (up from $212M in Q2 2025), with the cat ratio unchanged at 4.9 combined ratio points.</w:t>
      </w:r>
    </w:p>
    <w:p>
      <w:r>
        <w:rPr>
          <w:rFonts w:ascii="Calibri" w:hAnsi="Calibri"/>
          <w:b/>
          <w:color w:val="525866"/>
          <w:sz w:val="22"/>
        </w:rPr>
        <w:t>CINF Read-Through:</w:t>
      </w:r>
      <w:r>
        <w:rPr>
          <w:rFonts w:ascii="Calibri" w:hAnsi="Calibri"/>
          <w:color w:val="525866"/>
          <w:sz w:val="22"/>
        </w:rPr>
        <w:t xml:space="preserve"> HIG's cat ratio of 4.9 pts on a ~$4.5B NWP base implies cat losses of ~$220M — a moderate but not extreme cat quarter. Proportionally applied to CINF's ~$2.9B NWP, this would suggest cat losses in the $130–150M range, which would be manageable but above WRB's implied level. The actual CINF cat load will depend heavily on geographic concentration.</w:t>
      </w:r>
    </w:p>
    <w:p>
      <w:r>
        <w:rPr>
          <w:rFonts w:ascii="Calibri" w:hAnsi="Calibri"/>
          <w:b/>
          <w:color w:val="525866"/>
          <w:sz w:val="22"/>
        </w:rPr>
        <w:t>Investment Income:</w:t>
      </w:r>
      <w:r>
        <w:rPr>
          <w:rFonts w:ascii="Calibri" w:hAnsi="Calibri"/>
          <w:color w:val="525866"/>
          <w:sz w:val="22"/>
        </w:rPr>
        <w:t xml:space="preserve"> HIG's NII was $800M (+22% YoY), driven by higher income from limited partnerships and alternative investments, plus a higher level of invested assets. The annualized portfolio yield ex-LPs was 4.7% (up 20 bps from Q1). LP returns were 7.6% annualized (up from 5.1% in Q1). HIG guided H2 2026 LP returns to be "generally consistent" with H1, and full-year NII to increase with portfolio yields "broadly in line with 2025."</w:t>
      </w:r>
    </w:p>
    <w:p>
      <w:r>
        <w:rPr>
          <w:rFonts w:ascii="Calibri" w:hAnsi="Calibri"/>
          <w:b/>
          <w:color w:val="525866"/>
          <w:sz w:val="22"/>
        </w:rPr>
        <w:t>CINF Read-Through:</w:t>
      </w:r>
      <w:r>
        <w:rPr>
          <w:rFonts w:ascii="Calibri" w:hAnsi="Calibri"/>
          <w:color w:val="525866"/>
          <w:sz w:val="22"/>
        </w:rPr>
        <w:t xml:space="preserve"> HIG's strong NII growth is a positive read-through for CINF's investment income. However, HIG's NII was significantly boosted by LP/alternative investment income (7.6% annualized returns), which is less relevant to CINF's more traditional equity and fixed income portfolio. CINF's investment income growth is driven primarily by bond reinvestment at higher yields and equity dividend growth, which are more predictable and structural.</w:t>
      </w:r>
    </w:p>
    <w:p>
      <w:r>
        <w:rPr>
          <w:rFonts w:ascii="Calibri" w:hAnsi="Calibri"/>
          <w:b/>
          <w:color w:val="525866"/>
          <w:sz w:val="22"/>
        </w:rPr>
        <w:t>Limitations:</w:t>
      </w:r>
      <w:r>
        <w:rPr>
          <w:rFonts w:ascii="Calibri" w:hAnsi="Calibri"/>
          <w:color w:val="525866"/>
          <w:sz w:val="22"/>
        </w:rPr>
        <w:t xml:space="preserve"> HIG has a significant employee benefits (group disability, life) business that is not comparable to CINF's pure P&amp;C focus. HIG's personal lines business is in managed decline (auto -10%), which is the opposite of CINF's personal lines growth strategy. HIG's large property book is minimal, making its property pricing commentary less directly applicable to CINF's commercial property exposure.</w:t>
      </w:r>
    </w:p>
    <w:p>
      <w:pPr>
        <w:pStyle w:val="Heading3"/>
      </w:pPr>
      <w:r>
        <w:rPr>
          <w:rFonts w:ascii="Calibri" w:hAnsi="Calibri"/>
          <w:b/>
          <w:color w:val="3B4259"/>
          <w:sz w:val="24"/>
        </w:rPr>
        <w:t>5. Kinsale Capital (KNSL) — Q2 2026 Earnings (Reported July 23–24, 2026)</w:t>
      </w:r>
    </w:p>
    <w:p>
      <w:r>
        <w:rPr>
          <w:rFonts w:ascii="Calibri" w:hAnsi="Calibri"/>
          <w:b/>
          <w:color w:val="525866"/>
          <w:sz w:val="22"/>
        </w:rPr>
        <w:t>Pricing &amp; Rate:</w:t>
      </w:r>
      <w:r>
        <w:rPr>
          <w:rFonts w:ascii="Calibri" w:hAnsi="Calibri"/>
          <w:color w:val="525866"/>
          <w:sz w:val="22"/>
        </w:rPr>
        <w:t xml:space="preserve"> KNSL's combined pricing trend showed a decrease of 5.9% in Q2 (vs. -3.3% in Q1 2026), reflecting accelerating softness. Commercial property (large, shared/layered) faces the most intense competition with "material rate declines combined with expanding coverage" — described as "definitely a buyer's market." However, KNSL identified opportunities for "meaningful rate increases" in commercial auto, excess casualty, and entertainment. Competition is "starting to creep into general casualty type business and long tail lines from London." Small business property and agribusiness property are described as "more stable markets."</w:t>
      </w:r>
    </w:p>
    <w:p>
      <w:r>
        <w:rPr>
          <w:rFonts w:ascii="Calibri" w:hAnsi="Calibri"/>
          <w:b/>
          <w:color w:val="525866"/>
          <w:sz w:val="22"/>
        </w:rPr>
        <w:t>CINF Read-Through:</w:t>
      </w:r>
      <w:r>
        <w:rPr>
          <w:rFonts w:ascii="Calibri" w:hAnsi="Calibri"/>
          <w:color w:val="525866"/>
          <w:sz w:val="22"/>
        </w:rPr>
        <w:t xml:space="preserve"> KNSL's accelerating pricing softness in E&amp;S commercial property is a direct read-through for CINF's E&amp;S lines (Cincinnati Global), which grew 31% in Q1 2026. The opportunities in commercial auto and excess casualty pricing are relevant to CINF's casualty book. KNSL's observation that competition is "creeping into" general casualty from London is a warning for CINF's standard commercial casualty lines.</w:t>
      </w:r>
    </w:p>
    <w:p>
      <w:r>
        <w:rPr>
          <w:rFonts w:ascii="Calibri" w:hAnsi="Calibri"/>
          <w:b/>
          <w:color w:val="525866"/>
          <w:sz w:val="22"/>
        </w:rPr>
        <w:t>Premium Growth:</w:t>
      </w:r>
      <w:r>
        <w:rPr>
          <w:rFonts w:ascii="Calibri" w:hAnsi="Calibri"/>
          <w:color w:val="525866"/>
          <w:sz w:val="22"/>
        </w:rPr>
        <w:t xml:space="preserve"> KNSL's gross written premium was down 5% and NWP down 1.4% for Q2, but net earned premium was up 8.9%. Excluding the Commercial Property division, GWP grew 3.7%. New business submissions (ex-commercial property) were up 8%, with over half of divisions seeing double-digit submission growth. KNSL appointed 24 new wholesale brokers and 176 new retail brokers.</w:t>
      </w:r>
    </w:p>
    <w:p>
      <w:r>
        <w:rPr>
          <w:rFonts w:ascii="Calibri" w:hAnsi="Calibri"/>
          <w:b/>
          <w:color w:val="525866"/>
          <w:sz w:val="22"/>
        </w:rPr>
        <w:t>CINF Read-Through:</w:t>
      </w:r>
      <w:r>
        <w:rPr>
          <w:rFonts w:ascii="Calibri" w:hAnsi="Calibri"/>
          <w:color w:val="525866"/>
          <w:sz w:val="22"/>
        </w:rPr>
        <w:t xml:space="preserve"> KNSL's overall NWP decline (driven by deliberate commercial property pullback) is not directly applicable to CINF, which has a more diversified book. KNSL's strong submission growth ex-commercial property suggests healthy underlying market demand, which is positive for CINF's agency-driven growth model.</w:t>
      </w:r>
    </w:p>
    <w:p>
      <w:r>
        <w:rPr>
          <w:rFonts w:ascii="Calibri" w:hAnsi="Calibri"/>
          <w:b/>
          <w:color w:val="525866"/>
          <w:sz w:val="22"/>
        </w:rPr>
        <w:t>Loss Trends &amp; Reserves:</w:t>
      </w:r>
      <w:r>
        <w:rPr>
          <w:rFonts w:ascii="Calibri" w:hAnsi="Calibri"/>
          <w:color w:val="525866"/>
          <w:sz w:val="22"/>
        </w:rPr>
        <w:t xml:space="preserve"> KNSL's combined ratio was 75.5%, including 4.5 pts of favorable prior-year development (vs. 3.9 pts in Q2 2025). The current accident year loss ratio improved from Q1 to Q2, which KNSL noted was "a bit different from what many other commercial insurers are reporting." Losses came in below expectations for the quarter, consistent with recent quarters. KNSL estimates casualty loss cost trends at "mid-single digits." KNSL stated its reserves are "as conservative as they've ever been." KNSL noted limited exposure to social inflation due to writing "smaller accounts and lower limits."</w:t>
      </w:r>
    </w:p>
    <w:p>
      <w:r>
        <w:rPr>
          <w:rFonts w:ascii="Calibri" w:hAnsi="Calibri"/>
          <w:b/>
          <w:color w:val="525866"/>
          <w:sz w:val="22"/>
        </w:rPr>
        <w:t>CINF Read-Through:</w:t>
      </w:r>
      <w:r>
        <w:rPr>
          <w:rFonts w:ascii="Calibri" w:hAnsi="Calibri"/>
          <w:color w:val="525866"/>
          <w:sz w:val="22"/>
        </w:rPr>
        <w:t xml:space="preserve"> KNSL's favorable reserve development and improving current accident year loss ratio are positive signals. The "mid-single-digit" casualty loss cost trend estimate is consistent with CB's data and relevant to CINF's casualty pricing adequacy assessment. KNSL's limited social inflation exposure (due to smaller accounts/lower limits) is directly applicable to CINF, which also focuses on smaller to mid-sized accounts through its independent agency model.</w:t>
      </w:r>
    </w:p>
    <w:p>
      <w:r>
        <w:rPr>
          <w:rFonts w:ascii="Calibri" w:hAnsi="Calibri"/>
          <w:b/>
          <w:color w:val="525866"/>
          <w:sz w:val="22"/>
        </w:rPr>
        <w:t>Catastrophe Losses:</w:t>
      </w:r>
      <w:r>
        <w:rPr>
          <w:rFonts w:ascii="Calibri" w:hAnsi="Calibri"/>
          <w:color w:val="525866"/>
          <w:sz w:val="22"/>
        </w:rPr>
        <w:t xml:space="preserve"> KNSL's combined ratio included 1.3 pts from cat losses in Q2 2026 (up from less than 1 pt in Q2 2025), indicating some increase in cat activity but still a modest level.</w:t>
      </w:r>
    </w:p>
    <w:p>
      <w:r>
        <w:rPr>
          <w:rFonts w:ascii="Calibri" w:hAnsi="Calibri"/>
          <w:b/>
          <w:color w:val="525866"/>
          <w:sz w:val="22"/>
        </w:rPr>
        <w:t>Investment Income:</w:t>
      </w:r>
      <w:r>
        <w:rPr>
          <w:rFonts w:ascii="Calibri" w:hAnsi="Calibri"/>
          <w:color w:val="525866"/>
          <w:sz w:val="22"/>
        </w:rPr>
        <w:t xml:space="preserve"> KNSL's NII increased 19.9% in Q2 YoY, driven by growth in the investment portfolio from strong operating cash flows. Float grew to $3.4B (from $3.1B at year-end 2025). Annualized gross return was 4.5% for H1 2026 (vs. 4.3% in H1 2025). New money yields average ~5.25% with a 4.25-year average duration.</w:t>
      </w:r>
    </w:p>
    <w:p>
      <w:r>
        <w:rPr>
          <w:rFonts w:ascii="Calibri" w:hAnsi="Calibri"/>
          <w:b/>
          <w:color w:val="525866"/>
          <w:sz w:val="22"/>
        </w:rPr>
        <w:t>CINF Read-Through:</w:t>
      </w:r>
      <w:r>
        <w:rPr>
          <w:rFonts w:ascii="Calibri" w:hAnsi="Calibri"/>
          <w:color w:val="525866"/>
          <w:sz w:val="22"/>
        </w:rPr>
        <w:t xml:space="preserve"> KNSL's 5.25% new money yield and growing float are consistent with the broader industry investment income tailwind. CINF's larger and more diversified investment portfolio (including a significant equity portfolio) provides additional upside from dividend income growth, which KNSL does not have to the same degree.</w:t>
      </w:r>
    </w:p>
    <w:p>
      <w:r>
        <w:rPr>
          <w:rFonts w:ascii="Calibri" w:hAnsi="Calibri"/>
          <w:b/>
          <w:color w:val="525866"/>
          <w:sz w:val="22"/>
        </w:rPr>
        <w:t>Limitations:</w:t>
      </w:r>
      <w:r>
        <w:rPr>
          <w:rFonts w:ascii="Calibri" w:hAnsi="Calibri"/>
          <w:color w:val="525866"/>
          <w:sz w:val="22"/>
        </w:rPr>
        <w:t xml:space="preserve"> KNSL is a pure-play E&amp;S insurer focused on smaller accounts, which is a different market segment from CINF's admitted market focus. KNSL's combined ratio of 75.5% reflects its E&amp;S pricing power and niche underwriting expertise, which is not directly comparable to CINF's broader admitted market book. KNSL's deliberate pullback from large commercial property is a strategic choice specific to its E&amp;S positioning.</w:t>
      </w:r>
    </w:p>
    <w:p>
      <w:pPr>
        <w:pStyle w:val="Heading3"/>
      </w:pPr>
      <w:r>
        <w:rPr>
          <w:rFonts w:ascii="Calibri" w:hAnsi="Calibri"/>
          <w:b/>
          <w:color w:val="3B4259"/>
          <w:sz w:val="24"/>
        </w:rPr>
        <w:t>6. Progressive (PGR) — Q2 2026 Monthly/Quarterly Data (Released July 15, 2026)</w:t>
      </w:r>
    </w:p>
    <w:p>
      <w:r>
        <w:rPr>
          <w:rFonts w:ascii="Calibri" w:hAnsi="Calibri"/>
          <w:b/>
          <w:color w:val="525866"/>
          <w:sz w:val="22"/>
        </w:rPr>
        <w:t>Premium Growth:</w:t>
      </w:r>
      <w:r>
        <w:rPr>
          <w:rFonts w:ascii="Calibri" w:hAnsi="Calibri"/>
          <w:color w:val="525866"/>
          <w:sz w:val="22"/>
        </w:rPr>
        <w:t xml:space="preserve"> PGR reported Q2 NWP of $21.1B (+5% YoY) and NPE of $21.6B (+6% YoY). Policies in force grew 7% to 40.1M. Personal lines auto grew 8–10% (agency and direct), while property policies grew only 1%. Commercial lines NWP grew 1% but NPE declined 6%. June monthly NWP growth was 3% companywide.</w:t>
      </w:r>
    </w:p>
    <w:p>
      <w:r>
        <w:rPr>
          <w:rFonts w:ascii="Calibri" w:hAnsi="Calibri"/>
          <w:b/>
          <w:color w:val="525866"/>
          <w:sz w:val="22"/>
        </w:rPr>
        <w:t>CINF Read-Through:</w:t>
      </w:r>
      <w:r>
        <w:rPr>
          <w:rFonts w:ascii="Calibri" w:hAnsi="Calibri"/>
          <w:color w:val="525866"/>
          <w:sz w:val="22"/>
        </w:rPr>
        <w:t xml:space="preserve"> PGR's slowing growth (from 18% YoY in Q2 2025 to 5% in Q2 2026) confirms CINF's Q1 commentary that the personal auto market is "returning to normal." PGR's 1% property policy growth suggests the homeowners market is also normalizing. CINF's personal lines growth of 15% in Q1 (driven by Cincinnati Private Client) is outperforming PGR's personal lines growth, reflecting CINF's high net worth market positioning.</w:t>
      </w:r>
    </w:p>
    <w:p>
      <w:r>
        <w:rPr>
          <w:rFonts w:ascii="Calibri" w:hAnsi="Calibri"/>
          <w:b/>
          <w:color w:val="525866"/>
          <w:sz w:val="22"/>
        </w:rPr>
        <w:t>Loss Trends &amp; Reserves:</w:t>
      </w:r>
      <w:r>
        <w:rPr>
          <w:rFonts w:ascii="Calibri" w:hAnsi="Calibri"/>
          <w:color w:val="525866"/>
          <w:sz w:val="22"/>
        </w:rPr>
        <w:t xml:space="preserve"> PGR's Q2 combined ratio was 90.0% (up 3.4 pts YoY). The June combined ratio included a favorable 11.7 pt impact from a one-time actuarial methodology change for property IBNR reserves — this is a one-time item that will not recur. Excluding this, the underlying combined ratio was materially higher. PGR reported $236M of total favorable prior-year development in June, including $56M from the actuarial adjustment.</w:t>
      </w:r>
    </w:p>
    <w:p>
      <w:r>
        <w:rPr>
          <w:rFonts w:ascii="Calibri" w:hAnsi="Calibri"/>
          <w:b/>
          <w:color w:val="525866"/>
          <w:sz w:val="22"/>
        </w:rPr>
        <w:t>CINF Read-Through:</w:t>
      </w:r>
      <w:r>
        <w:rPr>
          <w:rFonts w:ascii="Calibri" w:hAnsi="Calibri"/>
          <w:color w:val="525866"/>
          <w:sz w:val="22"/>
        </w:rPr>
        <w:t xml:space="preserve"> PGR's underlying combined ratio deterioration (ex-the one-time actuarial benefit) is a mild negative signal for personal lines loss trends. However, PGR's personal auto book is much more commoditized than CINF's high net worth personal lines, making direct comparison limited. The favorable prior-year development at PGR is a positive signal for the broader personal lines reserve environment.</w:t>
      </w:r>
    </w:p>
    <w:p>
      <w:r>
        <w:rPr>
          <w:rFonts w:ascii="Calibri" w:hAnsi="Calibri"/>
          <w:b/>
          <w:color w:val="525866"/>
          <w:sz w:val="22"/>
        </w:rPr>
        <w:t>Catastrophe Losses:</w:t>
      </w:r>
      <w:r>
        <w:rPr>
          <w:rFonts w:ascii="Calibri" w:hAnsi="Calibri"/>
          <w:color w:val="525866"/>
          <w:sz w:val="22"/>
        </w:rPr>
        <w:t xml:space="preserve"> PGR's June net catastrophe loss ratio was 2.4% companywide (2.6% personal lines, 0.6% commercial lines), suggesting a moderate cat month.</w:t>
      </w:r>
    </w:p>
    <w:p>
      <w:r>
        <w:rPr>
          <w:rFonts w:ascii="Calibri" w:hAnsi="Calibri"/>
          <w:b/>
          <w:color w:val="525866"/>
          <w:sz w:val="22"/>
        </w:rPr>
        <w:t>CINF Read-Through:</w:t>
      </w:r>
      <w:r>
        <w:rPr>
          <w:rFonts w:ascii="Calibri" w:hAnsi="Calibri"/>
          <w:color w:val="525866"/>
          <w:sz w:val="22"/>
        </w:rPr>
        <w:t xml:space="preserve"> PGR's 2.4% cat loss ratio for June provides a data point on the tail end of Q2 cat activity. A 2.4% cat ratio on CINF's ~$2.9B NWP would imply ~$70M in cat losses for June alone — suggesting Q2 cat losses could be meaningful if April and May were also active. However, PGR's personal auto-heavy book has different cat exposure than CINF's property-heavy book.</w:t>
      </w:r>
    </w:p>
    <w:p>
      <w:r>
        <w:rPr>
          <w:rFonts w:ascii="Calibri" w:hAnsi="Calibri"/>
          <w:b/>
          <w:color w:val="525866"/>
          <w:sz w:val="22"/>
        </w:rPr>
        <w:t>Capital Allocation:</w:t>
      </w:r>
      <w:r>
        <w:rPr>
          <w:rFonts w:ascii="Calibri" w:hAnsi="Calibri"/>
          <w:color w:val="525866"/>
          <w:sz w:val="22"/>
        </w:rPr>
        <w:t xml:space="preserve"> PGR is now the nation's largest personal auto insurer and faces the question of what to do with excess capital. Wolfe Research estimates PGR will return $6.6B through dividends and $2.3B through buybacks in 2026. Management is deciding whether to repeat 2025's $8B mega-dividend.</w:t>
      </w:r>
    </w:p>
    <w:p>
      <w:r>
        <w:rPr>
          <w:rFonts w:ascii="Calibri" w:hAnsi="Calibri"/>
          <w:b/>
          <w:color w:val="525866"/>
          <w:sz w:val="22"/>
        </w:rPr>
        <w:t>CINF Read-Through:</w:t>
      </w:r>
      <w:r>
        <w:rPr>
          <w:rFonts w:ascii="Calibri" w:hAnsi="Calibri"/>
          <w:color w:val="525866"/>
          <w:sz w:val="22"/>
        </w:rPr>
        <w:t xml:space="preserve"> PGR's capital return discussion is less directly applicable to CINF, which has a more conservative capital return philosophy (65 consecutive years of dividend increases, modest buybacks). However, PGR's strong capital position confirms the industry's overall financial health.</w:t>
      </w:r>
    </w:p>
    <w:p>
      <w:r>
        <w:rPr>
          <w:rFonts w:ascii="Calibri" w:hAnsi="Calibri"/>
          <w:b/>
          <w:color w:val="525866"/>
          <w:sz w:val="22"/>
        </w:rPr>
        <w:t>Limitations:</w:t>
      </w:r>
      <w:r>
        <w:rPr>
          <w:rFonts w:ascii="Calibri" w:hAnsi="Calibri"/>
          <w:color w:val="525866"/>
          <w:sz w:val="22"/>
        </w:rPr>
        <w:t xml:space="preserve"> PGR is primarily a personal auto insurer with a very different business mix from CINF's diversified commercial and personal lines book. PGR's one-time actuarial methodology change makes Q2 loss ratio comparisons particularly unreliable. PGR's direct-to-consumer distribution model is fundamentally different from CINF's independent agency model.</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Peer Signal</w:t>
            </w:r>
          </w:p>
        </w:tc>
        <w:tc>
          <w:tcPr>
            <w:tcW w:type="dxa" w:w="2160"/>
            <w:shd w:val="clear" w:color="auto" w:fill="3B4259"/>
          </w:tcPr>
          <w:p>
            <w:r>
              <w:rPr>
                <w:rFonts w:ascii="Calibri" w:hAnsi="Calibri"/>
                <w:b/>
                <w:color w:val="FFFFFF"/>
                <w:sz w:val="22"/>
              </w:rPr>
              <w:t>Direction for CINF</w:t>
            </w:r>
          </w:p>
        </w:tc>
        <w:tc>
          <w:tcPr>
            <w:tcW w:type="dxa" w:w="2160"/>
            <w:shd w:val="clear" w:color="auto" w:fill="3B4259"/>
          </w:tcPr>
          <w:p>
            <w:r>
              <w:rPr>
                <w:rFonts w:ascii="Calibri" w:hAnsi="Calibri"/>
                <w:b/>
                <w:color w:val="FFFFFF"/>
                <w:sz w:val="22"/>
              </w:rPr>
              <w:t>Key Peer(s)</w:t>
            </w:r>
          </w:p>
        </w:tc>
      </w:tr>
      <w:tr>
        <w:tc>
          <w:tcPr>
            <w:tcW w:type="dxa" w:w="2160"/>
          </w:tcPr>
          <w:p>
            <w:r>
              <w:rPr>
                <w:rFonts w:ascii="Calibri" w:hAnsi="Calibri"/>
                <w:sz w:val="22"/>
              </w:rPr>
              <w:t>Q2 Catastrophe Losses</w:t>
            </w:r>
          </w:p>
        </w:tc>
        <w:tc>
          <w:tcPr>
            <w:tcW w:type="dxa" w:w="2160"/>
          </w:tcPr>
          <w:p>
            <w:r>
              <w:rPr>
                <w:rFonts w:ascii="Calibri" w:hAnsi="Calibri"/>
                <w:sz w:val="22"/>
              </w:rPr>
              <w:t>Benign quarter; WRB 2 pts, HIG 4.9 pts, Munich Re upside pre-announcement</w:t>
            </w:r>
          </w:p>
        </w:tc>
        <w:tc>
          <w:tcPr>
            <w:tcW w:type="dxa" w:w="2160"/>
          </w:tcPr>
          <w:p>
            <w:r>
              <w:rPr>
                <w:rFonts w:ascii="Calibri" w:hAnsi="Calibri"/>
                <w:b/>
                <w:color w:val="30A46C"/>
                <w:sz w:val="22"/>
              </w:rPr>
              <w:t>Positive</w:t>
            </w:r>
          </w:p>
        </w:tc>
        <w:tc>
          <w:tcPr>
            <w:tcW w:type="dxa" w:w="2160"/>
          </w:tcPr>
          <w:p>
            <w:r>
              <w:rPr>
                <w:rFonts w:ascii="Calibri" w:hAnsi="Calibri"/>
                <w:sz w:val="22"/>
              </w:rPr>
              <w:t>WRB, HIG, Munich Re</w:t>
            </w:r>
          </w:p>
        </w:tc>
      </w:tr>
      <w:tr>
        <w:tc>
          <w:tcPr>
            <w:tcW w:type="dxa" w:w="2160"/>
          </w:tcPr>
          <w:p>
            <w:r>
              <w:rPr>
                <w:rFonts w:ascii="Calibri" w:hAnsi="Calibri"/>
                <w:sz w:val="22"/>
              </w:rPr>
              <w:t>Investment Income</w:t>
            </w:r>
          </w:p>
        </w:tc>
        <w:tc>
          <w:tcPr>
            <w:tcW w:type="dxa" w:w="2160"/>
          </w:tcPr>
          <w:p>
            <w:r>
              <w:rPr>
                <w:rFonts w:ascii="Calibri" w:hAnsi="Calibri"/>
                <w:sz w:val="22"/>
              </w:rPr>
              <w:t>Record/strong NII across all peers; new money yields 5.25–5.5% above book yields</w:t>
            </w:r>
          </w:p>
        </w:tc>
        <w:tc>
          <w:tcPr>
            <w:tcW w:type="dxa" w:w="2160"/>
          </w:tcPr>
          <w:p>
            <w:r>
              <w:rPr>
                <w:rFonts w:ascii="Calibri" w:hAnsi="Calibri"/>
                <w:b/>
                <w:color w:val="30A46C"/>
                <w:sz w:val="22"/>
              </w:rPr>
              <w:t>Positive</w:t>
            </w:r>
          </w:p>
        </w:tc>
        <w:tc>
          <w:tcPr>
            <w:tcW w:type="dxa" w:w="2160"/>
          </w:tcPr>
          <w:p>
            <w:r>
              <w:rPr>
                <w:rFonts w:ascii="Calibri" w:hAnsi="Calibri"/>
                <w:sz w:val="22"/>
              </w:rPr>
              <w:t>TRV, WRB, CB, HIG, KNSL</w:t>
            </w:r>
          </w:p>
        </w:tc>
      </w:tr>
      <w:tr>
        <w:tc>
          <w:tcPr>
            <w:tcW w:type="dxa" w:w="2160"/>
          </w:tcPr>
          <w:p>
            <w:r>
              <w:rPr>
                <w:rFonts w:ascii="Calibri" w:hAnsi="Calibri"/>
                <w:sz w:val="22"/>
              </w:rPr>
              <w:t>Prior-Year Reserve Development</w:t>
            </w:r>
          </w:p>
        </w:tc>
        <w:tc>
          <w:tcPr>
            <w:tcW w:type="dxa" w:w="2160"/>
          </w:tcPr>
          <w:p>
            <w:r>
              <w:rPr>
                <w:rFonts w:ascii="Calibri" w:hAnsi="Calibri"/>
                <w:sz w:val="22"/>
              </w:rPr>
              <w:t>Broadly favorable across short-tail lines; TRV $578M, CB $441M, KNSL 4.5 pts</w:t>
            </w:r>
          </w:p>
        </w:tc>
        <w:tc>
          <w:tcPr>
            <w:tcW w:type="dxa" w:w="2160"/>
          </w:tcPr>
          <w:p>
            <w:r>
              <w:rPr>
                <w:rFonts w:ascii="Calibri" w:hAnsi="Calibri"/>
                <w:b/>
                <w:color w:val="30A46C"/>
                <w:sz w:val="22"/>
              </w:rPr>
              <w:t>Positive</w:t>
            </w:r>
          </w:p>
        </w:tc>
        <w:tc>
          <w:tcPr>
            <w:tcW w:type="dxa" w:w="2160"/>
          </w:tcPr>
          <w:p>
            <w:r>
              <w:rPr>
                <w:rFonts w:ascii="Calibri" w:hAnsi="Calibri"/>
                <w:sz w:val="22"/>
              </w:rPr>
              <w:t>TRV, CB, KNSL</w:t>
            </w:r>
          </w:p>
        </w:tc>
      </w:tr>
      <w:tr>
        <w:tc>
          <w:tcPr>
            <w:tcW w:type="dxa" w:w="2160"/>
          </w:tcPr>
          <w:p>
            <w:r>
              <w:rPr>
                <w:rFonts w:ascii="Calibri" w:hAnsi="Calibri"/>
                <w:sz w:val="22"/>
              </w:rPr>
              <w:t>Commercial Property Pricing</w:t>
            </w:r>
          </w:p>
        </w:tc>
        <w:tc>
          <w:tcPr>
            <w:tcW w:type="dxa" w:w="2160"/>
          </w:tcPr>
          <w:p>
            <w:r>
              <w:rPr>
                <w:rFonts w:ascii="Calibri" w:hAnsi="Calibri"/>
                <w:sz w:val="22"/>
              </w:rPr>
              <w:t>Accelerating softness; large/shared accounts rates down 10–12%; small/middle market mid-single digits</w:t>
            </w:r>
          </w:p>
        </w:tc>
        <w:tc>
          <w:tcPr>
            <w:tcW w:type="dxa" w:w="2160"/>
          </w:tcPr>
          <w:p>
            <w:r>
              <w:rPr>
                <w:rFonts w:ascii="Calibri" w:hAnsi="Calibri"/>
                <w:b/>
                <w:color w:val="E5484D"/>
                <w:sz w:val="22"/>
              </w:rPr>
              <w:t>Negative (large accts); Neutral (small/mid)</w:t>
            </w:r>
          </w:p>
        </w:tc>
        <w:tc>
          <w:tcPr>
            <w:tcW w:type="dxa" w:w="2160"/>
          </w:tcPr>
          <w:p>
            <w:r>
              <w:rPr>
                <w:rFonts w:ascii="Calibri" w:hAnsi="Calibri"/>
                <w:sz w:val="22"/>
              </w:rPr>
              <w:t>CB, WRB, KNSL, HIG</w:t>
            </w:r>
          </w:p>
        </w:tc>
      </w:tr>
      <w:tr>
        <w:tc>
          <w:tcPr>
            <w:tcW w:type="dxa" w:w="2160"/>
          </w:tcPr>
          <w:p>
            <w:r>
              <w:rPr>
                <w:rFonts w:ascii="Calibri" w:hAnsi="Calibri"/>
                <w:sz w:val="22"/>
              </w:rPr>
              <w:t>Casualty Loss Cost Inflation</w:t>
            </w:r>
          </w:p>
        </w:tc>
        <w:tc>
          <w:tcPr>
            <w:tcW w:type="dxa" w:w="2160"/>
          </w:tcPr>
          <w:p>
            <w:r>
              <w:rPr>
                <w:rFonts w:ascii="Calibri" w:hAnsi="Calibri"/>
                <w:sz w:val="22"/>
              </w:rPr>
              <w:t>6–7% primary, 9.5–12% excess annually; "zero evidence" of abatement (CB); HIG GL/auto reserve additions</w:t>
            </w:r>
          </w:p>
        </w:tc>
        <w:tc>
          <w:tcPr>
            <w:tcW w:type="dxa" w:w="2160"/>
          </w:tcPr>
          <w:p>
            <w:r>
              <w:rPr>
                <w:rFonts w:ascii="Calibri" w:hAnsi="Calibri"/>
                <w:b/>
                <w:color w:val="E5484D"/>
                <w:sz w:val="22"/>
              </w:rPr>
              <w:t>Negative</w:t>
            </w:r>
          </w:p>
        </w:tc>
        <w:tc>
          <w:tcPr>
            <w:tcW w:type="dxa" w:w="2160"/>
          </w:tcPr>
          <w:p>
            <w:r>
              <w:rPr>
                <w:rFonts w:ascii="Calibri" w:hAnsi="Calibri"/>
                <w:sz w:val="22"/>
              </w:rPr>
              <w:t>CB, HIG, KNSL</w:t>
            </w:r>
          </w:p>
        </w:tc>
      </w:tr>
      <w:tr>
        <w:tc>
          <w:tcPr>
            <w:tcW w:type="dxa" w:w="2160"/>
          </w:tcPr>
          <w:p>
            <w:r>
              <w:rPr>
                <w:rFonts w:ascii="Calibri" w:hAnsi="Calibri"/>
                <w:sz w:val="22"/>
              </w:rPr>
              <w:t>Commercial Lines Premium Growth</w:t>
            </w:r>
          </w:p>
        </w:tc>
        <w:tc>
          <w:tcPr>
            <w:tcW w:type="dxa" w:w="2160"/>
          </w:tcPr>
          <w:p>
            <w:r>
              <w:rPr>
                <w:rFonts w:ascii="Calibri" w:hAnsi="Calibri"/>
                <w:sz w:val="22"/>
              </w:rPr>
              <w:t>Solid 3–5% growth across peers; discipline maintained on pricing vs. volume</w:t>
            </w:r>
          </w:p>
        </w:tc>
        <w:tc>
          <w:tcPr>
            <w:tcW w:type="dxa" w:w="2160"/>
          </w:tcPr>
          <w:p>
            <w:r>
              <w:rPr>
                <w:rFonts w:ascii="Calibri" w:hAnsi="Calibri"/>
                <w:b/>
                <w:color w:val="30A46C"/>
                <w:sz w:val="22"/>
              </w:rPr>
              <w:t>Neutral/Positive</w:t>
            </w:r>
          </w:p>
        </w:tc>
        <w:tc>
          <w:tcPr>
            <w:tcW w:type="dxa" w:w="2160"/>
          </w:tcPr>
          <w:p>
            <w:r>
              <w:rPr>
                <w:rFonts w:ascii="Calibri" w:hAnsi="Calibri"/>
                <w:sz w:val="22"/>
              </w:rPr>
              <w:t>TRV, WRB, HIG</w:t>
            </w:r>
          </w:p>
        </w:tc>
      </w:tr>
      <w:tr>
        <w:tc>
          <w:tcPr>
            <w:tcW w:type="dxa" w:w="2160"/>
          </w:tcPr>
          <w:p>
            <w:r>
              <w:rPr>
                <w:rFonts w:ascii="Calibri" w:hAnsi="Calibri"/>
                <w:sz w:val="22"/>
              </w:rPr>
              <w:t>Personal Lines Pricing</w:t>
            </w:r>
          </w:p>
        </w:tc>
        <w:tc>
          <w:tcPr>
            <w:tcW w:type="dxa" w:w="2160"/>
          </w:tcPr>
          <w:p>
            <w:r>
              <w:rPr>
                <w:rFonts w:ascii="Calibri" w:hAnsi="Calibri"/>
                <w:sz w:val="22"/>
              </w:rPr>
              <w:t>Moderating from peak; auto 5.5–6%, home 6.6–10.4%; market normalizing</w:t>
            </w:r>
          </w:p>
        </w:tc>
        <w:tc>
          <w:tcPr>
            <w:tcW w:type="dxa" w:w="2160"/>
          </w:tcPr>
          <w:p>
            <w:r>
              <w:rPr>
                <w:rFonts w:ascii="Calibri" w:hAnsi="Calibri"/>
                <w:sz w:val="22"/>
              </w:rPr>
              <w:t>Neutral (consistent with CINF guidance)</w:t>
            </w:r>
          </w:p>
        </w:tc>
        <w:tc>
          <w:tcPr>
            <w:tcW w:type="dxa" w:w="2160"/>
          </w:tcPr>
          <w:p>
            <w:r>
              <w:rPr>
                <w:rFonts w:ascii="Calibri" w:hAnsi="Calibri"/>
                <w:sz w:val="22"/>
              </w:rPr>
              <w:t>TRV, HIG, PGR</w:t>
            </w:r>
          </w:p>
        </w:tc>
      </w:tr>
      <w:tr>
        <w:tc>
          <w:tcPr>
            <w:tcW w:type="dxa" w:w="2160"/>
          </w:tcPr>
          <w:p>
            <w:r>
              <w:rPr>
                <w:rFonts w:ascii="Calibri" w:hAnsi="Calibri"/>
                <w:sz w:val="22"/>
              </w:rPr>
              <w:t>Social Inflation / Legal System Abuse</w:t>
            </w:r>
          </w:p>
        </w:tc>
        <w:tc>
          <w:tcPr>
            <w:tcW w:type="dxa" w:w="2160"/>
          </w:tcPr>
          <w:p>
            <w:r>
              <w:rPr>
                <w:rFonts w:ascii="Calibri" w:hAnsi="Calibri"/>
                <w:sz w:val="22"/>
              </w:rPr>
              <w:t>Industry-wide concern; attorney representation rising; no evidence of abatement</w:t>
            </w:r>
          </w:p>
        </w:tc>
        <w:tc>
          <w:tcPr>
            <w:tcW w:type="dxa" w:w="2160"/>
          </w:tcPr>
          <w:p>
            <w:r>
              <w:rPr>
                <w:rFonts w:ascii="Calibri" w:hAnsi="Calibri"/>
                <w:b/>
                <w:color w:val="E5484D"/>
                <w:sz w:val="22"/>
              </w:rPr>
              <w:t>Negative (ongoing risk)</w:t>
            </w:r>
          </w:p>
        </w:tc>
        <w:tc>
          <w:tcPr>
            <w:tcW w:type="dxa" w:w="2160"/>
          </w:tcPr>
          <w:p>
            <w:r>
              <w:rPr>
                <w:rFonts w:ascii="Calibri" w:hAnsi="Calibri"/>
                <w:sz w:val="22"/>
              </w:rPr>
              <w:t>CB, WRB, HIG, TRV</w:t>
            </w:r>
          </w:p>
        </w:tc>
      </w:tr>
    </w:tbl>
    <w:p>
      <w:r>
        <w:rPr>
          <w:rFonts w:ascii="Calibri" w:hAnsi="Calibri"/>
          <w:i/>
          <w:color w:val="525866"/>
          <w:sz w:val="22"/>
        </w:rPr>
        <w:t>Sources: TRV Q2 2026 Earnings Release and Call Transcript (July 17, 2026); CB Q2 2026 Earnings Release and Call Transcript (July 21–22, 2026); WRB Q2 2026 Earnings Release and Call Transcript (July 20, 2026); HIG Q2 2026 Earnings Release and Call Transcript (July 23–24, 2026); KNSL Q2 2026 Earnings Release and Call Transcript (July 23–24, 2026); PGR Q2 2026 Earnings Release (July 15, 2026). All commentary pertains to the Q2 2026 reporting period.</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