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broadband net subscriber losses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~-190K vs. cons -165,300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~$0.98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Wireless net line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~410K vs. cons ~375K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trajectory (near-term pressure, relief only exiting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~-3.5% vs. cons ~-3.0% (2026Q2, with relief by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Peacock/Media EBITDA inflection ('approach profitability')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Peacock EBITDA ~-</w:t>
            </w:r>
            <m:oMath>
              <m:r>
                <m:t>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150M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NBCU+Sky spin-off financial framework (leverage split / dividend policy)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RemainCo net leverage ~2.3x vs. current 2.3x; dividend policy TBD (spin ~mid-2027)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wireless-line monetization / convergence tailwind (2H)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majority of ~9.7M-base free lines convert to paid vs. cons ~$85 convergence ARPA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(STABILIZE)</w:t>
            </w:r>
          </w:p>
        </w:tc>
        <w:tc>
          <w:tcPr/>
          <w:p>
            <w:pPr>
              <w:pStyle w:val="Compact"/>
            </w:pPr>
            <w:r>
              <w:t xml:space="preserve">Q2 is the first 'clean' broadband read without a Legendary February tentpole, and with guided incremental ARPU pressure the sub/ARPU combo likely disappoints even against low expectations (echoing Q1's post-print sell-off despite a sub beat). Sell-side trims out-period connectivity revenue/EBITDA on the softer ARPU and 2H-weighted relief story, arguing for follow-through; but at ~6.7x forward earnings, near multi-year lows, with an above-market dividend and NBCU/Sky spin optionality providing a valuation floor, downside dampens after the initial drop, so the residual stabilizes rather than compounding.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2026-07-23T00:24:18Z</dcterms:created>
  <dcterms:modified xsi:type="dcterms:W3CDTF">2026-07-23T00:24:18Z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