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mcsa-earnings-predictions--2026-07-23"/>
    <w:p>
      <w:pPr>
        <w:pStyle w:val="Heading1"/>
      </w:pPr>
      <w:r>
        <w:t xml:space="preserve">CMCSA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CMCSA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Domestic broadband net subscriber losses (Q2)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~145K losses vs. cons 165.3K losses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CMCSA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(Q2)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~$29.15B vs. cons $29.3B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CMCSA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(Q2)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~$0.95 vs. cons $0.97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CMCSA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Peacock EBITDA loss trajectory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~-</w:t>
            </w:r>
            <m:oMath>
              <m:r>
                <m:t>50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rPr>
                  <m:sty m:val="p"/>
                </m:rPr>
                <m:t>−</m:t>
              </m:r>
            </m:oMath>
            <w:r>
              <w:t xml:space="preserve">150M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CMCSA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Broadband ARPU growth easing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~-1.0% vs. cons -2.0% (H2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CMCSA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Net leverage trajectory into spin prep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~2.5x vs. cons 2.3x (FY2026 year-end)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CMCSA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CMCSA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+0.7% (FADE)</w:t>
            </w:r>
          </w:p>
        </w:tc>
        <w:tc>
          <w:tcPr/>
          <w:p>
            <w:pPr>
              <w:pStyle w:val="Compact"/>
            </w:pPr>
            <w:r>
              <w:t xml:space="preserve">Initial relief rally from better-than-feared broadband net adds and a Peacock profitability inflection should lift the stock day 1, but the EPS miss, confirmed leverage tick-up, and lingering ARPU pressure into H2 give analysts reason to trim out-period (2H26/FY27) estimates even after a headline broadband beat, plus continued uncertainty on spin-off stranded costs/dis-synergies caps follow-through, causing the initial pop to fade over the week.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2026-07-23T00:22:24Z</dcterms:created>
  <dcterms:modified xsi:type="dcterms:W3CDTF">2026-07-23T00:22:24Z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