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csa-earnings-predictions--2026-07-23"/>
    <w:p>
      <w:pPr>
        <w:pStyle w:val="Heading1"/>
      </w:pPr>
      <w:r>
        <w:t xml:space="preserve">CMCSA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Domestic broadband net losses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~155K losses vs. cons 165.3K losses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Domestic wireless line net additions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~412K additions vs. cons 401.3K additions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~$0.99 vs. cons $0.97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Domestic broadband net losses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~575K losses vs. cons 625K losses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Domestic broadband ARPU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~-3.5% vs. cons -3.2%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Peacock adjusted EBITDA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~$75M vs. cons $50M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+1.6% (FADE)</w:t>
            </w:r>
          </w:p>
        </w:tc>
        <w:tc>
          <w:tcPr/>
          <w:p>
            <w:pPr>
              <w:pStyle w:val="Compact"/>
            </w:pPr>
            <w:r>
              <w:t xml:space="preserve">The initial reaction should reward broadband losses of ~155K vs. consensus 165.3K and EPS of ~$0.99 vs. $0.97, but Q3 broadband ARPU guidance of ~-3.5% vs. consensus -3.2% implies continued pricing and margin pressure, limiting upward estimate revisions and causing part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2026-07-23T00:24:03Z</dcterms:created>
  <dcterms:modified xsi:type="dcterms:W3CDTF">2026-07-23T00:24:03Z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