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cmcsa-q2-2026-earnings-preview"/>
    <w:p>
      <w:pPr>
        <w:pStyle w:val="Heading1"/>
      </w:pPr>
      <w:r>
        <w:t xml:space="preserve">CMCSA Q2 2026 Earnings Preview</w:t>
      </w:r>
    </w:p>
    <w:p>
      <w:pPr>
        <w:pStyle w:val="BlockText"/>
      </w:pPr>
      <w:r>
        <w:rPr>
          <w:b/>
          <w:bCs/>
        </w:rPr>
        <w:t xml:space="preserve">Timing clarification:</w:t>
      </w:r>
      <w:r>
        <w:t xml:space="preserve"> </w:t>
      </w:r>
      <w:r>
        <w:t xml:space="preserve">Comcast’s Q2 earnings call is scheduled for</w:t>
      </w:r>
      <w:r>
        <w:t xml:space="preserve"> </w:t>
      </w:r>
      <w:r>
        <w:rPr>
          <w:b/>
          <w:bCs/>
        </w:rPr>
        <w:t xml:space="preserve">today, Thursday, July 23, 2026, at 8:30 a.m. ET</w:t>
      </w:r>
      <w:r>
        <w:t xml:space="preserve">, not tomorrow. The earnings release is expected before the call.</w:t>
      </w:r>
    </w:p>
    <w:bookmarkStart w:id="9" w:name="investment-view-going-into-the-report"/>
    <w:p>
      <w:pPr>
        <w:pStyle w:val="Heading2"/>
      </w:pPr>
      <w:r>
        <w:t xml:space="preserve">Investment view going into the report</w:t>
      </w:r>
    </w:p>
    <w:p>
      <w:pPr>
        <w:pStyle w:val="FirstParagraph"/>
      </w:pPr>
      <w:r>
        <w:t xml:space="preserve">This quarter is primarily a test of whether Comcast’s aggressive broadband reset is beginning to stabilize its customer base</w:t>
      </w:r>
      <w:r>
        <w:t xml:space="preserve"> </w:t>
      </w:r>
      <w:r>
        <w:rPr>
          <w:b/>
          <w:bCs/>
        </w:rPr>
        <w:t xml:space="preserve">without causing a lasting deterioration in revenue and margins</w:t>
      </w:r>
      <w:r>
        <w:t xml:space="preserve">.</w:t>
      </w:r>
    </w:p>
    <w:p>
      <w:pPr>
        <w:pStyle w:val="BodyText"/>
      </w:pPr>
      <w:r>
        <w:t xml:space="preserve">The headline revenue and EPS numbers matter, but investors are likely to react more strongly to:</w:t>
      </w:r>
    </w:p>
    <w:p>
      <w:pPr>
        <w:pStyle w:val="Compact"/>
        <w:numPr>
          <w:ilvl w:val="0"/>
          <w:numId w:val="1001"/>
        </w:numPr>
      </w:pPr>
      <w:r>
        <w:t xml:space="preserve">Domestic broadband subscriber losses</w:t>
      </w:r>
    </w:p>
    <w:p>
      <w:pPr>
        <w:pStyle w:val="Compact"/>
        <w:numPr>
          <w:ilvl w:val="0"/>
          <w:numId w:val="1001"/>
        </w:numPr>
      </w:pPr>
      <w:r>
        <w:t xml:space="preserve">Broadband pricing and ARPU</w:t>
      </w:r>
    </w:p>
    <w:p>
      <w:pPr>
        <w:pStyle w:val="Compact"/>
        <w:numPr>
          <w:ilvl w:val="0"/>
          <w:numId w:val="1001"/>
        </w:numPr>
      </w:pPr>
      <w:r>
        <w:t xml:space="preserve">Wireless additions and conversion of promotional lines</w:t>
      </w:r>
    </w:p>
    <w:p>
      <w:pPr>
        <w:pStyle w:val="Compact"/>
        <w:numPr>
          <w:ilvl w:val="0"/>
          <w:numId w:val="1001"/>
        </w:numPr>
      </w:pPr>
      <w:r>
        <w:t xml:space="preserve">Peacock’s path to profitability</w:t>
      </w:r>
    </w:p>
    <w:p>
      <w:pPr>
        <w:pStyle w:val="Compact"/>
        <w:numPr>
          <w:ilvl w:val="0"/>
          <w:numId w:val="1001"/>
        </w:numPr>
      </w:pPr>
      <w:r>
        <w:t xml:space="preserve">Details surrounding the planned NBCUniversal/Sky separation</w:t>
      </w:r>
    </w:p>
    <w:p>
      <w:pPr>
        <w:pStyle w:val="FirstParagraph"/>
      </w:pPr>
      <w:r>
        <w:t xml:space="preserve">The bar is not especially high. CMCSA closed at</w:t>
      </w:r>
      <w:r>
        <w:t xml:space="preserve"> </w:t>
      </w:r>
      <w:r>
        <w:rPr>
          <w:b/>
          <w:bCs/>
        </w:rPr>
        <w:t xml:space="preserve">$23.54 on July 22</w:t>
      </w:r>
      <w:r>
        <w:t xml:space="preserve">, down approximately</w:t>
      </w:r>
      <w:r>
        <w:t xml:space="preserve"> </w:t>
      </w:r>
      <w:r>
        <w:rPr>
          <w:b/>
          <w:bCs/>
        </w:rPr>
        <w:t xml:space="preserve">30% over the past year</w:t>
      </w:r>
      <w:r>
        <w:t xml:space="preserve"> </w:t>
      </w:r>
      <w:r>
        <w:t xml:space="preserve">and</w:t>
      </w:r>
      <w:r>
        <w:t xml:space="preserve"> </w:t>
      </w:r>
      <w:r>
        <w:rPr>
          <w:b/>
          <w:bCs/>
        </w:rPr>
        <w:t xml:space="preserve">16% year to date</w:t>
      </w:r>
      <w:r>
        <w:t xml:space="preserve">. That depressed valuation creates room for a positive reaction if broadband trends are merely less bad and management provides credible separation details. Conversely, another deterioration in connectivity economics would reinforce the market’s view that Comcast is facing a structural—not temporary—broadband problem.</w:t>
      </w:r>
    </w:p>
    <w:bookmarkEnd w:id="9"/>
    <w:bookmarkStart w:id="10" w:name="street-expectations"/>
    <w:p>
      <w:pPr>
        <w:pStyle w:val="Heading2"/>
      </w:pPr>
      <w:r>
        <w:t xml:space="preserve">Street expectations</w:t>
      </w:r>
    </w:p>
    <w:p>
      <w:pPr>
        <w:pStyle w:val="FirstParagraph"/>
      </w:pPr>
      <w:r>
        <w:t xml:space="preserve">Reported consensus expectations include: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Q2 2026 expectation</w:t>
            </w:r>
          </w:p>
        </w:tc>
      </w:tr>
      <w:tr>
        <w:tc>
          <w:tcPr/>
          <w:p>
            <w:pPr>
              <w:pStyle w:val="Compact"/>
            </w:pPr>
            <w:r>
              <w:t xml:space="preserve">Revenue</w:t>
            </w:r>
          </w:p>
        </w:tc>
        <w:tc>
          <w:tcPr/>
          <w:p>
            <w:pPr>
              <w:pStyle w:val="Compact"/>
              <w:jc w:val="right"/>
            </w:pPr>
            <w:r>
              <w:t xml:space="preserve">Approximately</w:t>
            </w:r>
            <w:r>
              <w:t xml:space="preserve"> </w:t>
            </w:r>
            <w:r>
              <w:rPr>
                <w:b/>
                <w:bCs/>
              </w:rPr>
              <w:t xml:space="preserve">$29.3 billion</w:t>
            </w:r>
          </w:p>
        </w:tc>
      </w:tr>
      <w:tr>
        <w:tc>
          <w:tcPr/>
          <w:p>
            <w:pPr>
              <w:pStyle w:val="Compact"/>
            </w:pPr>
            <w:r>
              <w:t xml:space="preserve">EPS</w:t>
            </w:r>
          </w:p>
        </w:tc>
        <w:tc>
          <w:tcPr/>
          <w:p>
            <w:pPr>
              <w:pStyle w:val="Compact"/>
              <w:jc w:val="right"/>
            </w:pPr>
            <w:r>
              <w:t xml:space="preserve">Approximately</w:t>
            </w:r>
            <w:r>
              <w:t xml:space="preserve"> </w:t>
            </w:r>
            <w:r>
              <w:rPr>
                <w:b/>
                <w:bCs/>
              </w:rPr>
              <w:t xml:space="preserve">$0.97</w:t>
            </w:r>
          </w:p>
        </w:tc>
      </w:tr>
      <w:tr>
        <w:tc>
          <w:tcPr/>
          <w:p>
            <w:pPr>
              <w:pStyle w:val="Compact"/>
            </w:pPr>
            <w:r>
              <w:t xml:space="preserve">Domestic broadband net losses</w:t>
            </w:r>
          </w:p>
        </w:tc>
        <w:tc>
          <w:tcPr/>
          <w:p>
            <w:pPr>
              <w:pStyle w:val="Compact"/>
              <w:jc w:val="right"/>
            </w:pPr>
            <w:r>
              <w:t xml:space="preserve">Approximately</w:t>
            </w:r>
            <w:r>
              <w:t xml:space="preserve"> </w:t>
            </w:r>
            <w:r>
              <w:rPr>
                <w:b/>
                <w:bCs/>
              </w:rPr>
              <w:t xml:space="preserve">165,000</w:t>
            </w:r>
          </w:p>
        </w:tc>
      </w:tr>
      <w:tr>
        <w:tc>
          <w:tcPr/>
          <w:p>
            <w:pPr>
              <w:pStyle w:val="Compact"/>
            </w:pPr>
            <w:r>
              <w:t xml:space="preserve">Revenue growth</w:t>
            </w:r>
          </w:p>
        </w:tc>
        <w:tc>
          <w:tcPr/>
          <w:p>
            <w:pPr>
              <w:pStyle w:val="Compact"/>
              <w:jc w:val="right"/>
            </w:pPr>
            <w:r>
              <w:t xml:space="preserve">Approximately</w:t>
            </w:r>
            <w:r>
              <w:t xml:space="preserve"> </w:t>
            </w:r>
            <w:r>
              <w:rPr>
                <w:b/>
                <w:bCs/>
              </w:rPr>
              <w:t xml:space="preserve">-3.6%</w:t>
            </w:r>
          </w:p>
        </w:tc>
      </w:tr>
    </w:tbl>
    <w:p>
      <w:pPr>
        <w:pStyle w:val="BodyText"/>
      </w:pPr>
      <w:r>
        <w:t xml:space="preserve">Comparability is complicated by the January 2026 Versant separation, sports-event timing and changes to segment reporting. Investors should therefore put more weight on organic segment trends and management’s forward commentary than on consolidated year-over-year growth alone.</w:t>
      </w:r>
    </w:p>
    <w:p>
      <w:r>
        <w:pict>
          <v:rect style="width:0;height:1.5pt" o:hralign="center" o:hrstd="t" o:hr="t"/>
        </w:pict>
      </w:r>
    </w:p>
    <w:bookmarkEnd w:id="10"/>
    <w:bookmarkStart w:id="14" w:name="X0f47173462d14208d1c3ce4cdc999a3007914fc"/>
    <w:p>
      <w:pPr>
        <w:pStyle w:val="Heading2"/>
      </w:pPr>
      <w:r>
        <w:t xml:space="preserve">1. Broadband is the quarter’s key swing factor</w:t>
      </w:r>
    </w:p>
    <w:bookmarkStart w:id="11" w:name="what-happened-in-q1"/>
    <w:p>
      <w:pPr>
        <w:pStyle w:val="Heading3"/>
      </w:pPr>
      <w:r>
        <w:t xml:space="preserve">What happened in Q1</w:t>
      </w:r>
    </w:p>
    <w:p>
      <w:pPr>
        <w:pStyle w:val="FirstParagraph"/>
      </w:pPr>
      <w:r>
        <w:t xml:space="preserve">Comcast lost</w:t>
      </w:r>
      <w:r>
        <w:t xml:space="preserve"> </w:t>
      </w:r>
      <w:r>
        <w:rPr>
          <w:b/>
          <w:bCs/>
        </w:rPr>
        <w:t xml:space="preserve">65,000 domestic broadband subscribers</w:t>
      </w:r>
      <w:r>
        <w:t xml:space="preserve"> </w:t>
      </w:r>
      <w:r>
        <w:t xml:space="preserve">in Q1, an improvement of 117,000 from the prior-year period. Management attributed more than half of that improvement to promotions associated with its unusually strong February sports calendar, including the Winter Olympics and Super Bowl.</w:t>
      </w:r>
    </w:p>
    <w:p>
      <w:pPr>
        <w:pStyle w:val="BodyText"/>
      </w:pPr>
      <w:r>
        <w:t xml:space="preserve">The underlying indicators were nevertheless encouraging:</w:t>
      </w:r>
    </w:p>
    <w:p>
      <w:pPr>
        <w:pStyle w:val="Compact"/>
        <w:numPr>
          <w:ilvl w:val="0"/>
          <w:numId w:val="1002"/>
        </w:numPr>
      </w:pPr>
      <w:r>
        <w:t xml:space="preserve">Connect volumes improved year over year for the first time in more than four years.</w:t>
      </w:r>
    </w:p>
    <w:p>
      <w:pPr>
        <w:pStyle w:val="Compact"/>
        <w:numPr>
          <w:ilvl w:val="0"/>
          <w:numId w:val="1002"/>
        </w:numPr>
      </w:pPr>
      <w:r>
        <w:t xml:space="preserve">Voluntary churn declined.</w:t>
      </w:r>
    </w:p>
    <w:p>
      <w:pPr>
        <w:pStyle w:val="Compact"/>
        <w:numPr>
          <w:ilvl w:val="0"/>
          <w:numId w:val="1002"/>
        </w:numPr>
      </w:pPr>
      <w:r>
        <w:t xml:space="preserve">Net Promoter Scores improved.</w:t>
      </w:r>
    </w:p>
    <w:p>
      <w:pPr>
        <w:pStyle w:val="Compact"/>
        <w:numPr>
          <w:ilvl w:val="0"/>
          <w:numId w:val="1002"/>
        </w:numPr>
      </w:pPr>
      <w:r>
        <w:t xml:space="preserve">Roughly 40% of the broadband base had migrated to simplified packaging.</w:t>
      </w:r>
    </w:p>
    <w:p>
      <w:pPr>
        <w:pStyle w:val="Compact"/>
        <w:numPr>
          <w:ilvl w:val="0"/>
          <w:numId w:val="1002"/>
        </w:numPr>
      </w:pPr>
      <w:r>
        <w:t xml:space="preserve">More customers selected gigabit-plus speeds.</w:t>
      </w:r>
    </w:p>
    <w:p>
      <w:pPr>
        <w:pStyle w:val="FirstParagraph"/>
      </w:pPr>
      <w:r>
        <w:t xml:space="preserve">The concern is that Q1 benefited from marketing around events that will not repeat in Q2, while the second quarter is seasonally more difficult. Comcast lost</w:t>
      </w:r>
      <w:r>
        <w:t xml:space="preserve"> </w:t>
      </w:r>
      <w:r>
        <w:rPr>
          <w:b/>
          <w:bCs/>
        </w:rPr>
        <w:t xml:space="preserve">226,000 broadband subscribers in Q2 2025</w:t>
      </w:r>
      <w:r>
        <w:t xml:space="preserve">, so the approximately 165,000-loss consensus would still represent meaningful year-over-year improvement.</w:t>
      </w:r>
    </w:p>
    <w:bookmarkEnd w:id="11"/>
    <w:bookmarkStart w:id="12" w:name="what-would-constitute-a-good-result"/>
    <w:p>
      <w:pPr>
        <w:pStyle w:val="Heading3"/>
      </w:pPr>
      <w:r>
        <w:t xml:space="preserve">What would constitute a good result?</w:t>
      </w:r>
    </w:p>
    <w:p>
      <w:pPr>
        <w:pStyle w:val="FirstParagraph"/>
      </w:pPr>
      <w:r>
        <w:t xml:space="preserve">A loss of</w:t>
      </w:r>
      <w:r>
        <w:t xml:space="preserve"> </w:t>
      </w:r>
      <w:r>
        <w:rPr>
          <w:b/>
          <w:bCs/>
        </w:rPr>
        <w:t xml:space="preserve">125,000–150,000 customers or fewer</w:t>
      </w:r>
      <w:r>
        <w:t xml:space="preserve"> </w:t>
      </w:r>
      <w:r>
        <w:t xml:space="preserve">would suggest that the improvement extends beyond the February promotional campaign. A result around consensus would be acceptable, especially if connects and voluntary churn continue improving.</w:t>
      </w:r>
    </w:p>
    <w:p>
      <w:pPr>
        <w:pStyle w:val="BodyText"/>
      </w:pPr>
      <w:r>
        <w:t xml:space="preserve">A loss approaching or exceeding</w:t>
      </w:r>
      <w:r>
        <w:t xml:space="preserve"> </w:t>
      </w:r>
      <w:r>
        <w:rPr>
          <w:b/>
          <w:bCs/>
        </w:rPr>
        <w:t xml:space="preserve">200,000</w:t>
      </w:r>
      <w:r>
        <w:t xml:space="preserve"> </w:t>
      </w:r>
      <w:r>
        <w:t xml:space="preserve">would raise doubts about management’s assertion that broadband performance can improve year over year in 2026.</w:t>
      </w:r>
    </w:p>
    <w:bookmarkEnd w:id="12"/>
    <w:bookmarkStart w:id="13" w:name="questions-investors-need-answered"/>
    <w:p>
      <w:pPr>
        <w:pStyle w:val="Heading3"/>
      </w:pPr>
      <w:r>
        <w:t xml:space="preserve">Questions investors need answered</w:t>
      </w:r>
    </w:p>
    <w:p>
      <w:pPr>
        <w:pStyle w:val="Compact"/>
        <w:numPr>
          <w:ilvl w:val="0"/>
          <w:numId w:val="1003"/>
        </w:numPr>
      </w:pPr>
      <w:r>
        <w:t xml:space="preserve">Are connects and voluntary churn still improving without the Q1 sports-driven promotion?</w:t>
      </w:r>
    </w:p>
    <w:p>
      <w:pPr>
        <w:pStyle w:val="Compact"/>
        <w:numPr>
          <w:ilvl w:val="0"/>
          <w:numId w:val="1003"/>
        </w:numPr>
      </w:pPr>
      <w:r>
        <w:t xml:space="preserve">Is performance improving against fiber, fixed wireless and satellite competitors?</w:t>
      </w:r>
    </w:p>
    <w:p>
      <w:pPr>
        <w:pStyle w:val="Compact"/>
        <w:numPr>
          <w:ilvl w:val="0"/>
          <w:numId w:val="1003"/>
        </w:numPr>
      </w:pPr>
      <w:r>
        <w:t xml:space="preserve">How much of the customer improvement is being purchased through lower pricing?</w:t>
      </w:r>
    </w:p>
    <w:p>
      <w:pPr>
        <w:pStyle w:val="Compact"/>
        <w:numPr>
          <w:ilvl w:val="0"/>
          <w:numId w:val="1003"/>
        </w:numPr>
      </w:pPr>
      <w:r>
        <w:t xml:space="preserve">Can management still deliver full-year broadband losses below 2025?</w:t>
      </w:r>
    </w:p>
    <w:p>
      <w:pPr>
        <w:pStyle w:val="Compact"/>
        <w:numPr>
          <w:ilvl w:val="0"/>
          <w:numId w:val="1003"/>
        </w:numPr>
      </w:pPr>
      <w:r>
        <w:t xml:space="preserve">Has Comcast seen any meaningful change in competitive intensity or promotional behavior?</w:t>
      </w:r>
    </w:p>
    <w:p>
      <w:r>
        <w:pict>
          <v:rect style="width:0;height:1.5pt" o:hralign="center" o:hrstd="t" o:hr="t"/>
        </w:pict>
      </w:r>
    </w:p>
    <w:bookmarkEnd w:id="13"/>
    <w:bookmarkEnd w:id="14"/>
    <w:bookmarkStart w:id="16" w:name="X5ae24d92ee0d05564634b228ef25f8021272025"/>
    <w:p>
      <w:pPr>
        <w:pStyle w:val="Heading2"/>
      </w:pPr>
      <w:r>
        <w:t xml:space="preserve">2. The trade-off between subscribers and ARPU</w:t>
      </w:r>
    </w:p>
    <w:p>
      <w:pPr>
        <w:pStyle w:val="FirstParagraph"/>
      </w:pPr>
      <w:r>
        <w:t xml:space="preserve">Comcast has deliberately sacrificed near-term broadband pricing to improve retention and acquisition. Broadband ARPU fell</w:t>
      </w:r>
      <w:r>
        <w:t xml:space="preserve"> </w:t>
      </w:r>
      <w:r>
        <w:rPr>
          <w:b/>
          <w:bCs/>
        </w:rPr>
        <w:t xml:space="preserve">3.1% in Q1</w:t>
      </w:r>
      <w:r>
        <w:t xml:space="preserve">, reflecting:</w:t>
      </w:r>
    </w:p>
    <w:p>
      <w:pPr>
        <w:pStyle w:val="Compact"/>
        <w:numPr>
          <w:ilvl w:val="0"/>
          <w:numId w:val="1004"/>
        </w:numPr>
      </w:pPr>
      <w:r>
        <w:t xml:space="preserve">No customary beginning-of-year rate increase</w:t>
      </w:r>
    </w:p>
    <w:p>
      <w:pPr>
        <w:pStyle w:val="Compact"/>
        <w:numPr>
          <w:ilvl w:val="0"/>
          <w:numId w:val="1004"/>
        </w:numPr>
      </w:pPr>
      <w:r>
        <w:t xml:space="preserve">Lower and more transparent everyday pricing</w:t>
      </w:r>
    </w:p>
    <w:p>
      <w:pPr>
        <w:pStyle w:val="Compact"/>
        <w:numPr>
          <w:ilvl w:val="0"/>
          <w:numId w:val="1004"/>
        </w:numPr>
      </w:pPr>
      <w:r>
        <w:t xml:space="preserve">Migration to simplified plans</w:t>
      </w:r>
    </w:p>
    <w:p>
      <w:pPr>
        <w:pStyle w:val="Compact"/>
        <w:numPr>
          <w:ilvl w:val="0"/>
          <w:numId w:val="1004"/>
        </w:numPr>
      </w:pPr>
      <w:r>
        <w:t xml:space="preserve">Free wireless lines bundled with broadband</w:t>
      </w:r>
    </w:p>
    <w:p>
      <w:pPr>
        <w:pStyle w:val="Compact"/>
        <w:numPr>
          <w:ilvl w:val="0"/>
          <w:numId w:val="1004"/>
        </w:numPr>
      </w:pPr>
      <w:r>
        <w:t xml:space="preserve">Longer-term price guarantees</w:t>
      </w:r>
    </w:p>
    <w:p>
      <w:pPr>
        <w:pStyle w:val="FirstParagraph"/>
      </w:pPr>
      <w:r>
        <w:t xml:space="preserve">Management explicitly warned that ARPU pressure would become</w:t>
      </w:r>
      <w:r>
        <w:t xml:space="preserve"> </w:t>
      </w:r>
      <w:r>
        <w:rPr>
          <w:b/>
          <w:bCs/>
        </w:rPr>
        <w:t xml:space="preserve">incrementally worse in Q2</w:t>
      </w:r>
      <w:r>
        <w:t xml:space="preserve"> </w:t>
      </w:r>
      <w:r>
        <w:t xml:space="preserve">before beginning to ease later in the year.</w:t>
      </w:r>
    </w:p>
    <w:p>
      <w:pPr>
        <w:pStyle w:val="BodyText"/>
      </w:pPr>
      <w:r>
        <w:t xml:space="preserve">This makes the quality of the subscriber result important. A better-than-expected subscriber number accompanied by sharply accelerating ARPU erosion would be less impressive than it initially appears.</w:t>
      </w:r>
    </w:p>
    <w:bookmarkStart w:id="15" w:name="key-thresholds"/>
    <w:p>
      <w:pPr>
        <w:pStyle w:val="Heading3"/>
      </w:pPr>
      <w:r>
        <w:t xml:space="preserve">Key thresholds</w:t>
      </w:r>
    </w:p>
    <w:p>
      <w:pPr>
        <w:pStyle w:val="Compact"/>
        <w:numPr>
          <w:ilvl w:val="0"/>
          <w:numId w:val="1005"/>
        </w:numPr>
      </w:pPr>
      <w:r>
        <w:rPr>
          <w:b/>
          <w:bCs/>
        </w:rPr>
        <w:t xml:space="preserve">Constructive:</w:t>
      </w:r>
      <w:r>
        <w:t xml:space="preserve"> </w:t>
      </w:r>
      <w:r>
        <w:t xml:space="preserve">Broadband ARPU contraction remains near the Q1 rate, with improving customer volumes.</w:t>
      </w:r>
    </w:p>
    <w:p>
      <w:pPr>
        <w:pStyle w:val="Compact"/>
        <w:numPr>
          <w:ilvl w:val="0"/>
          <w:numId w:val="1005"/>
        </w:numPr>
      </w:pPr>
      <w:r>
        <w:rPr>
          <w:b/>
          <w:bCs/>
        </w:rPr>
        <w:t xml:space="preserve">Manageable:</w:t>
      </w:r>
      <w:r>
        <w:t xml:space="preserve"> </w:t>
      </w:r>
      <w:r>
        <w:t xml:space="preserve">ARPU declines in the mid-single digits but management can demonstrate better retention and a credible second-half stabilization.</w:t>
      </w:r>
    </w:p>
    <w:p>
      <w:pPr>
        <w:pStyle w:val="Compact"/>
        <w:numPr>
          <w:ilvl w:val="0"/>
          <w:numId w:val="1005"/>
        </w:numPr>
      </w:pPr>
      <w:r>
        <w:rPr>
          <w:b/>
          <w:bCs/>
        </w:rPr>
        <w:t xml:space="preserve">Concerning:</w:t>
      </w:r>
      <w:r>
        <w:t xml:space="preserve"> </w:t>
      </w:r>
      <w:r>
        <w:t xml:space="preserve">ARPU worsens substantially while subscriber losses remain elevated.</w:t>
      </w:r>
    </w:p>
    <w:p>
      <w:pPr>
        <w:pStyle w:val="FirstParagraph"/>
      </w:pPr>
      <w:r>
        <w:t xml:space="preserve">Investors should also watch</w:t>
      </w:r>
      <w:r>
        <w:t xml:space="preserve"> </w:t>
      </w:r>
      <w:r>
        <w:rPr>
          <w:b/>
          <w:bCs/>
        </w:rPr>
        <w:t xml:space="preserve">convergence revenue and convergence ARPA</w:t>
      </w:r>
      <w:r>
        <w:t xml:space="preserve">, which combine broadband and wireless-service economics. Convergence revenue fell</w:t>
      </w:r>
      <w:r>
        <w:t xml:space="preserve"> </w:t>
      </w:r>
      <w:r>
        <w:rPr>
          <w:b/>
          <w:bCs/>
        </w:rPr>
        <w:t xml:space="preserve">2.8% in Q1</w:t>
      </w:r>
      <w:r>
        <w:t xml:space="preserve">, while convergence ARPA declined 0.8%. These figures may offer a better long-term measure of the connectivity strategy than broadband ARPU alone.</w:t>
      </w:r>
    </w:p>
    <w:p>
      <w:r>
        <w:pict>
          <v:rect style="width:0;height:1.5pt" o:hralign="center" o:hrstd="t" o:hr="t"/>
        </w:pict>
      </w:r>
    </w:p>
    <w:bookmarkEnd w:id="15"/>
    <w:bookmarkEnd w:id="16"/>
    <w:bookmarkStart w:id="18" w:name="Xec31470f34ae33e3327d0ea57caa82fd4494375"/>
    <w:p>
      <w:pPr>
        <w:pStyle w:val="Heading2"/>
      </w:pPr>
      <w:r>
        <w:t xml:space="preserve">3. Wireless growth is important—but monetization is more important</w:t>
      </w:r>
    </w:p>
    <w:p>
      <w:pPr>
        <w:pStyle w:val="FirstParagraph"/>
      </w:pPr>
      <w:r>
        <w:t xml:space="preserve">Wireless was the clearest positive in Q1:</w:t>
      </w:r>
    </w:p>
    <w:p>
      <w:pPr>
        <w:pStyle w:val="Compact"/>
        <w:numPr>
          <w:ilvl w:val="0"/>
          <w:numId w:val="1006"/>
        </w:numPr>
      </w:pPr>
      <w:r>
        <w:t xml:space="preserve">Record</w:t>
      </w:r>
      <w:r>
        <w:t xml:space="preserve"> </w:t>
      </w:r>
      <w:r>
        <w:rPr>
          <w:b/>
          <w:bCs/>
        </w:rPr>
        <w:t xml:space="preserve">435,000 net line additions</w:t>
      </w:r>
    </w:p>
    <w:p>
      <w:pPr>
        <w:pStyle w:val="Compact"/>
        <w:numPr>
          <w:ilvl w:val="0"/>
          <w:numId w:val="1006"/>
        </w:numPr>
      </w:pPr>
      <w:r>
        <w:rPr>
          <w:b/>
          <w:bCs/>
        </w:rPr>
        <w:t xml:space="preserve">9.7 million</w:t>
      </w:r>
      <w:r>
        <w:t xml:space="preserve"> </w:t>
      </w:r>
      <w:r>
        <w:t xml:space="preserve">total lines</w:t>
      </w:r>
    </w:p>
    <w:p>
      <w:pPr>
        <w:pStyle w:val="Compact"/>
        <w:numPr>
          <w:ilvl w:val="0"/>
          <w:numId w:val="1006"/>
        </w:numPr>
      </w:pPr>
      <w:r>
        <w:t xml:space="preserve">Approximately</w:t>
      </w:r>
      <w:r>
        <w:t xml:space="preserve"> </w:t>
      </w:r>
      <w:r>
        <w:rPr>
          <w:b/>
          <w:bCs/>
        </w:rPr>
        <w:t xml:space="preserve">16% penetration</w:t>
      </w:r>
      <w:r>
        <w:t xml:space="preserve"> </w:t>
      </w:r>
      <w:r>
        <w:t xml:space="preserve">of the domestic residential broadband base</w:t>
      </w:r>
    </w:p>
    <w:p>
      <w:pPr>
        <w:pStyle w:val="Compact"/>
        <w:numPr>
          <w:ilvl w:val="0"/>
          <w:numId w:val="1006"/>
        </w:numPr>
      </w:pPr>
      <w:r>
        <w:t xml:space="preserve">Wireless service revenue growth of</w:t>
      </w:r>
      <w:r>
        <w:t xml:space="preserve"> </w:t>
      </w:r>
      <w:r>
        <w:rPr>
          <w:b/>
          <w:bCs/>
        </w:rPr>
        <w:t xml:space="preserve">15%</w:t>
      </w:r>
    </w:p>
    <w:p>
      <w:pPr>
        <w:pStyle w:val="Compact"/>
        <w:numPr>
          <w:ilvl w:val="0"/>
          <w:numId w:val="1006"/>
        </w:numPr>
      </w:pPr>
      <w:r>
        <w:t xml:space="preserve">Roughly half of residential postpaid connects came through free-line offers</w:t>
      </w:r>
    </w:p>
    <w:p>
      <w:pPr>
        <w:pStyle w:val="FirstParagraph"/>
      </w:pPr>
      <w:r>
        <w:t xml:space="preserve">Management has argued that wireless improves customer retention, increases lifetime value and gives Comcast a much larger convergence-revenue opportunity. The strategy is plausible, but the promotional lines eventually need to become paying relationships.</w:t>
      </w:r>
    </w:p>
    <w:p>
      <w:pPr>
        <w:pStyle w:val="BodyText"/>
      </w:pPr>
      <w:r>
        <w:t xml:space="preserve">Management expects a significant majority of free-line customers to convert to paid service as more promotions expire in the second half. Q2 may offer the first useful evidence on early cohorts.</w:t>
      </w:r>
    </w:p>
    <w:bookmarkStart w:id="17" w:name="what-to-watch"/>
    <w:p>
      <w:pPr>
        <w:pStyle w:val="Heading3"/>
      </w:pPr>
      <w:r>
        <w:t xml:space="preserve">What to watch</w:t>
      </w:r>
    </w:p>
    <w:p>
      <w:pPr>
        <w:pStyle w:val="Compact"/>
        <w:numPr>
          <w:ilvl w:val="0"/>
          <w:numId w:val="1007"/>
        </w:numPr>
      </w:pPr>
      <w:r>
        <w:t xml:space="preserve">Net line additions versus Q1’s 435,000 record</w:t>
      </w:r>
    </w:p>
    <w:p>
      <w:pPr>
        <w:pStyle w:val="Compact"/>
        <w:numPr>
          <w:ilvl w:val="0"/>
          <w:numId w:val="1007"/>
        </w:numPr>
      </w:pPr>
      <w:r>
        <w:t xml:space="preserve">Percentage of gross additions tied to free lines</w:t>
      </w:r>
    </w:p>
    <w:p>
      <w:pPr>
        <w:pStyle w:val="Compact"/>
        <w:numPr>
          <w:ilvl w:val="0"/>
          <w:numId w:val="1007"/>
        </w:numPr>
      </w:pPr>
      <w:r>
        <w:t xml:space="preserve">Retention and paid conversion rates for early promotional cohorts</w:t>
      </w:r>
    </w:p>
    <w:p>
      <w:pPr>
        <w:pStyle w:val="Compact"/>
        <w:numPr>
          <w:ilvl w:val="0"/>
          <w:numId w:val="1007"/>
        </w:numPr>
      </w:pPr>
      <w:r>
        <w:t xml:space="preserve">Wireless service-revenue growth</w:t>
      </w:r>
    </w:p>
    <w:p>
      <w:pPr>
        <w:pStyle w:val="Compact"/>
        <w:numPr>
          <w:ilvl w:val="0"/>
          <w:numId w:val="1007"/>
        </w:numPr>
      </w:pPr>
      <w:r>
        <w:t xml:space="preserve">Uptake of premium plans, including Mobile Plus</w:t>
      </w:r>
    </w:p>
    <w:p>
      <w:pPr>
        <w:pStyle w:val="Compact"/>
        <w:numPr>
          <w:ilvl w:val="0"/>
          <w:numId w:val="1007"/>
        </w:numPr>
      </w:pPr>
      <w:r>
        <w:t xml:space="preserve">Economics of the T-Mobile MVNO for business customers</w:t>
      </w:r>
    </w:p>
    <w:p>
      <w:pPr>
        <w:pStyle w:val="Compact"/>
        <w:numPr>
          <w:ilvl w:val="0"/>
          <w:numId w:val="1007"/>
        </w:numPr>
      </w:pPr>
      <w:r>
        <w:t xml:space="preserve">Whether wireless attachment is measurably reducing broadband churn</w:t>
      </w:r>
    </w:p>
    <w:p>
      <w:pPr>
        <w:pStyle w:val="FirstParagraph"/>
      </w:pPr>
      <w:r>
        <w:t xml:space="preserve">A strong line-addition number will not be enough if management cannot establish that those lines will ultimately generate attractive revenue and margins.</w:t>
      </w:r>
    </w:p>
    <w:p>
      <w:r>
        <w:pict>
          <v:rect style="width:0;height:1.5pt" o:hralign="center" o:hrstd="t" o:hr="t"/>
        </w:pict>
      </w:r>
    </w:p>
    <w:bookmarkEnd w:id="17"/>
    <w:bookmarkEnd w:id="18"/>
    <w:bookmarkStart w:id="19" w:name="X21733eac9f3bca6ddf92ab58179dd293d495f9c"/>
    <w:p>
      <w:pPr>
        <w:pStyle w:val="Heading2"/>
      </w:pPr>
      <w:r>
        <w:t xml:space="preserve">4. Connectivity EBITDA may matter more than revenue</w:t>
      </w:r>
    </w:p>
    <w:p>
      <w:pPr>
        <w:pStyle w:val="FirstParagraph"/>
      </w:pPr>
      <w:r>
        <w:t xml:space="preserve">Connectivity &amp; Platforms adjusted EBITDA fell</w:t>
      </w:r>
      <w:r>
        <w:t xml:space="preserve"> </w:t>
      </w:r>
      <w:r>
        <w:rPr>
          <w:b/>
          <w:bCs/>
        </w:rPr>
        <w:t xml:space="preserve">4.7% on a constant-currency basis in Q1</w:t>
      </w:r>
      <w:r>
        <w:t xml:space="preserve">, reflecting broadband pricing investments, promotional wireless lines, customer-experience spending and higher direct product costs.</w:t>
      </w:r>
    </w:p>
    <w:p>
      <w:pPr>
        <w:pStyle w:val="BodyText"/>
      </w:pPr>
      <w:r>
        <w:t xml:space="preserve">Management previously said Q2 would contain additional pressure. The market will therefore tolerate some contraction, but the call needs to establish that this is a temporary investment cycle rather than a permanent reset in cable margins.</w:t>
      </w:r>
    </w:p>
    <w:p>
      <w:pPr>
        <w:pStyle w:val="BodyText"/>
      </w:pPr>
      <w:r>
        <w:t xml:space="preserve">The most important indicators will be:</w:t>
      </w:r>
    </w:p>
    <w:p>
      <w:pPr>
        <w:pStyle w:val="Compact"/>
        <w:numPr>
          <w:ilvl w:val="0"/>
          <w:numId w:val="1008"/>
        </w:numPr>
      </w:pPr>
      <w:r>
        <w:t xml:space="preserve">Residential Connectivity &amp; Platforms EBITDA growth</w:t>
      </w:r>
    </w:p>
    <w:p>
      <w:pPr>
        <w:pStyle w:val="Compact"/>
        <w:numPr>
          <w:ilvl w:val="0"/>
          <w:numId w:val="1008"/>
        </w:numPr>
      </w:pPr>
      <w:r>
        <w:t xml:space="preserve">Segment margin compression</w:t>
      </w:r>
    </w:p>
    <w:p>
      <w:pPr>
        <w:pStyle w:val="Compact"/>
        <w:numPr>
          <w:ilvl w:val="0"/>
          <w:numId w:val="1008"/>
        </w:numPr>
      </w:pPr>
      <w:r>
        <w:t xml:space="preserve">Marketing and customer-acquisition spending</w:t>
      </w:r>
    </w:p>
    <w:p>
      <w:pPr>
        <w:pStyle w:val="Compact"/>
        <w:numPr>
          <w:ilvl w:val="0"/>
          <w:numId w:val="1008"/>
        </w:numPr>
      </w:pPr>
      <w:r>
        <w:t xml:space="preserve">Wireless network and device costs</w:t>
      </w:r>
    </w:p>
    <w:p>
      <w:pPr>
        <w:pStyle w:val="Compact"/>
        <w:numPr>
          <w:ilvl w:val="0"/>
          <w:numId w:val="1008"/>
        </w:numPr>
      </w:pPr>
      <w:r>
        <w:t xml:space="preserve">Whether management still expects improvement as it exits 2026</w:t>
      </w:r>
    </w:p>
    <w:p>
      <w:pPr>
        <w:pStyle w:val="FirstParagraph"/>
      </w:pPr>
      <w:r>
        <w:t xml:space="preserve">A quarter with better subscriber trends but significantly worse-than-expected EBITDA would leave investors questioning the value of the stabilization strategy.</w:t>
      </w:r>
    </w:p>
    <w:p>
      <w:r>
        <w:pict>
          <v:rect style="width:0;height:1.5pt" o:hralign="center" o:hrstd="t" o:hr="t"/>
        </w:pict>
      </w:r>
    </w:p>
    <w:bookmarkEnd w:id="19"/>
    <w:bookmarkStart w:id="21" w:name="X37e493dd6e711d10dd5b36c67da15afc951f370"/>
    <w:p>
      <w:pPr>
        <w:pStyle w:val="Heading2"/>
      </w:pPr>
      <w:r>
        <w:t xml:space="preserve">5. Peacock has a credible opportunity to reach breakeven</w:t>
      </w:r>
    </w:p>
    <w:p>
      <w:pPr>
        <w:pStyle w:val="FirstParagraph"/>
      </w:pPr>
      <w:r>
        <w:t xml:space="preserve">Peacock ended Q1 with:</w:t>
      </w:r>
    </w:p>
    <w:p>
      <w:pPr>
        <w:pStyle w:val="Compact"/>
        <w:numPr>
          <w:ilvl w:val="0"/>
          <w:numId w:val="1009"/>
        </w:numPr>
      </w:pPr>
      <w:r>
        <w:rPr>
          <w:b/>
          <w:bCs/>
        </w:rPr>
        <w:t xml:space="preserve">46 million paid subscribers</w:t>
      </w:r>
    </w:p>
    <w:p>
      <w:pPr>
        <w:pStyle w:val="Compact"/>
        <w:numPr>
          <w:ilvl w:val="0"/>
          <w:numId w:val="1009"/>
        </w:numPr>
      </w:pPr>
      <w:r>
        <w:t xml:space="preserve">Two million sequential net additions</w:t>
      </w:r>
    </w:p>
    <w:p>
      <w:pPr>
        <w:pStyle w:val="Compact"/>
        <w:numPr>
          <w:ilvl w:val="0"/>
          <w:numId w:val="1009"/>
        </w:numPr>
      </w:pPr>
      <w:r>
        <w:t xml:space="preserve">Revenue growth above 70%</w:t>
      </w:r>
    </w:p>
    <w:p>
      <w:pPr>
        <w:pStyle w:val="Compact"/>
        <w:numPr>
          <w:ilvl w:val="0"/>
          <w:numId w:val="1009"/>
        </w:numPr>
      </w:pPr>
      <w:r>
        <w:t xml:space="preserve">Approximately</w:t>
      </w:r>
      <w:r>
        <w:t xml:space="preserve"> </w:t>
      </w:r>
      <w:r>
        <w:rPr>
          <w:b/>
          <w:bCs/>
        </w:rPr>
        <w:t xml:space="preserve">$432 million of EBITDA losses</w:t>
      </w:r>
    </w:p>
    <w:p>
      <w:pPr>
        <w:pStyle w:val="FirstParagraph"/>
      </w:pPr>
      <w:r>
        <w:t xml:space="preserve">The Q1 loss reflected the peak quarterly burden from Comcast’s new NBA rights, with roughly half of the season’s games occurring during the quarter. Management said Peacock should</w:t>
      </w:r>
      <w:r>
        <w:t xml:space="preserve"> </w:t>
      </w:r>
      <w:r>
        <w:rPr>
          <w:b/>
          <w:bCs/>
        </w:rPr>
        <w:t xml:space="preserve">approach profitability in Q2</w:t>
      </w:r>
      <w:r>
        <w:t xml:space="preserve"> </w:t>
      </w:r>
      <w:r>
        <w:t xml:space="preserve">as NBA-related dilution declines.</w:t>
      </w:r>
    </w:p>
    <w:p>
      <w:pPr>
        <w:pStyle w:val="BodyText"/>
      </w:pPr>
      <w:r>
        <w:t xml:space="preserve">Q2 also benefited from:</w:t>
      </w:r>
    </w:p>
    <w:p>
      <w:pPr>
        <w:pStyle w:val="Compact"/>
        <w:numPr>
          <w:ilvl w:val="0"/>
          <w:numId w:val="1010"/>
        </w:numPr>
      </w:pPr>
      <w:r>
        <w:t xml:space="preserve">The NBA playoffs</w:t>
      </w:r>
    </w:p>
    <w:p>
      <w:pPr>
        <w:pStyle w:val="Compact"/>
        <w:numPr>
          <w:ilvl w:val="0"/>
          <w:numId w:val="1010"/>
        </w:numPr>
      </w:pPr>
      <w:r>
        <w:t xml:space="preserve">The FIFA World Cup on Telemundo and Peacock</w:t>
      </w:r>
    </w:p>
    <w:p>
      <w:pPr>
        <w:pStyle w:val="Compact"/>
        <w:numPr>
          <w:ilvl w:val="0"/>
          <w:numId w:val="1010"/>
        </w:numPr>
      </w:pPr>
      <w:r>
        <w:t xml:space="preserve">A healthy sports-advertising environment</w:t>
      </w:r>
    </w:p>
    <w:p>
      <w:pPr>
        <w:pStyle w:val="Compact"/>
        <w:numPr>
          <w:ilvl w:val="0"/>
          <w:numId w:val="1010"/>
        </w:numPr>
      </w:pPr>
      <w:r>
        <w:t xml:space="preserve">Continued subscriber and engagement momentum</w:t>
      </w:r>
    </w:p>
    <w:p>
      <w:pPr>
        <w:pStyle w:val="FirstParagraph"/>
      </w:pPr>
      <w:r>
        <w:t xml:space="preserve">The market will look for Peacock to be around breakeven, or at least to show a dramatic sequential improvement. More important will be whether management expects profitability to be durable rather than limited to favorable sports timing.</w:t>
      </w:r>
    </w:p>
    <w:bookmarkStart w:id="20" w:name="key-questions"/>
    <w:p>
      <w:pPr>
        <w:pStyle w:val="Heading3"/>
      </w:pPr>
      <w:r>
        <w:t xml:space="preserve">Key questions</w:t>
      </w:r>
    </w:p>
    <w:p>
      <w:pPr>
        <w:pStyle w:val="Compact"/>
        <w:numPr>
          <w:ilvl w:val="0"/>
          <w:numId w:val="1011"/>
        </w:numPr>
      </w:pPr>
      <w:r>
        <w:t xml:space="preserve">Did Peacock reach or approach adjusted EBITDA breakeven?</w:t>
      </w:r>
    </w:p>
    <w:p>
      <w:pPr>
        <w:pStyle w:val="Compact"/>
        <w:numPr>
          <w:ilvl w:val="0"/>
          <w:numId w:val="1011"/>
        </w:numPr>
      </w:pPr>
      <w:r>
        <w:t xml:space="preserve">How many subscribers were added through the World Cup?</w:t>
      </w:r>
    </w:p>
    <w:p>
      <w:pPr>
        <w:pStyle w:val="Compact"/>
        <w:numPr>
          <w:ilvl w:val="0"/>
          <w:numId w:val="1011"/>
        </w:numPr>
      </w:pPr>
      <w:r>
        <w:t xml:space="preserve">Did higher engagement translate into better advertising monetization?</w:t>
      </w:r>
    </w:p>
    <w:p>
      <w:pPr>
        <w:pStyle w:val="Compact"/>
        <w:numPr>
          <w:ilvl w:val="0"/>
          <w:numId w:val="1011"/>
        </w:numPr>
      </w:pPr>
      <w:r>
        <w:t xml:space="preserve">What is the retention outlook after major sporting events end?</w:t>
      </w:r>
    </w:p>
    <w:p>
      <w:pPr>
        <w:pStyle w:val="Compact"/>
        <w:numPr>
          <w:ilvl w:val="0"/>
          <w:numId w:val="1011"/>
        </w:numPr>
      </w:pPr>
      <w:r>
        <w:t xml:space="preserve">Can Peacock remain profitable as NBA costs recur in future seasons?</w:t>
      </w:r>
    </w:p>
    <w:p>
      <w:pPr>
        <w:pStyle w:val="FirstParagraph"/>
      </w:pPr>
      <w:r>
        <w:t xml:space="preserve">A profitable or nearly profitable Peacock would materially strengthen the case for NBCUniversal as an independent company.</w:t>
      </w:r>
    </w:p>
    <w:p>
      <w:r>
        <w:pict>
          <v:rect style="width:0;height:1.5pt" o:hralign="center" o:hrstd="t" o:hr="t"/>
        </w:pict>
      </w:r>
    </w:p>
    <w:bookmarkEnd w:id="20"/>
    <w:bookmarkEnd w:id="21"/>
    <w:bookmarkStart w:id="22" w:name="X8381586cd7404bc0f892c2acd889bc636b2bd77"/>
    <w:p>
      <w:pPr>
        <w:pStyle w:val="Heading2"/>
      </w:pPr>
      <w:r>
        <w:t xml:space="preserve">6. Parks should remain a source of strength</w:t>
      </w:r>
    </w:p>
    <w:p>
      <w:pPr>
        <w:pStyle w:val="FirstParagraph"/>
      </w:pPr>
      <w:r>
        <w:t xml:space="preserve">Theme Parks produced</w:t>
      </w:r>
      <w:r>
        <w:t xml:space="preserve"> </w:t>
      </w:r>
      <w:r>
        <w:rPr>
          <w:b/>
          <w:bCs/>
        </w:rPr>
        <w:t xml:space="preserve">24% revenue growth and 33% EBITDA growth in Q1</w:t>
      </w:r>
      <w:r>
        <w:t xml:space="preserve">, driven by Epic Universe. Excluding roughly $100 million of prior-year pre-opening costs, underlying EBITDA growth was still above 7%.</w:t>
      </w:r>
    </w:p>
    <w:p>
      <w:pPr>
        <w:pStyle w:val="BodyText"/>
      </w:pPr>
      <w:r>
        <w:t xml:space="preserve">The Q2 comparison should benefit from Epic Universe being operational for the entire quarter, versus only part of Q2 2025. Management has reported:</w:t>
      </w:r>
    </w:p>
    <w:p>
      <w:pPr>
        <w:pStyle w:val="Compact"/>
        <w:numPr>
          <w:ilvl w:val="0"/>
          <w:numId w:val="1012"/>
        </w:numPr>
      </w:pPr>
      <w:r>
        <w:t xml:space="preserve">Strong Orlando attendance</w:t>
      </w:r>
    </w:p>
    <w:p>
      <w:pPr>
        <w:pStyle w:val="Compact"/>
        <w:numPr>
          <w:ilvl w:val="0"/>
          <w:numId w:val="1012"/>
        </w:numPr>
      </w:pPr>
      <w:r>
        <w:t xml:space="preserve">Higher per-capita spending</w:t>
      </w:r>
    </w:p>
    <w:p>
      <w:pPr>
        <w:pStyle w:val="Compact"/>
        <w:numPr>
          <w:ilvl w:val="0"/>
          <w:numId w:val="1012"/>
        </w:numPr>
      </w:pPr>
      <w:r>
        <w:t xml:space="preserve">Minimal cannibalization of its existing Orlando parks</w:t>
      </w:r>
    </w:p>
    <w:p>
      <w:pPr>
        <w:pStyle w:val="Compact"/>
        <w:numPr>
          <w:ilvl w:val="0"/>
          <w:numId w:val="1012"/>
        </w:numPr>
      </w:pPr>
      <w:r>
        <w:t xml:space="preserve">Increasing recognition of Universal Orlando as a weeklong destination</w:t>
      </w:r>
    </w:p>
    <w:p>
      <w:pPr>
        <w:pStyle w:val="FirstParagraph"/>
      </w:pPr>
      <w:r>
        <w:t xml:space="preserve">Potential offsets include weaker China-related inbound travel to Osaka, a difficult macroeconomic backdrop in Beijing and still-subdued international travel into the United States.</w:t>
      </w:r>
    </w:p>
    <w:p>
      <w:pPr>
        <w:pStyle w:val="BodyText"/>
      </w:pPr>
      <w:r>
        <w:t xml:space="preserve">Investors should focus on organic park EBITDA growth, attendance, per-capita spending and operating leverage—not just reported growth against Epic’s opening-period costs.</w:t>
      </w:r>
    </w:p>
    <w:p>
      <w:r>
        <w:pict>
          <v:rect style="width:0;height:1.5pt" o:hralign="center" o:hrstd="t" o:hr="t"/>
        </w:pict>
      </w:r>
    </w:p>
    <w:bookmarkEnd w:id="22"/>
    <w:bookmarkStart w:id="23" w:name="Xd4bff98b0e23d715bc1527041553855dda5e809"/>
    <w:p>
      <w:pPr>
        <w:pStyle w:val="Heading2"/>
      </w:pPr>
      <w:r>
        <w:t xml:space="preserve">7. Studios has momentum, but</w:t>
      </w:r>
      <w:r>
        <w:t xml:space="preserve"> </w:t>
      </w:r>
      <w:r>
        <w:rPr>
          <w:i/>
          <w:iCs/>
        </w:rPr>
        <w:t xml:space="preserve">The Odyssey</w:t>
      </w:r>
      <w:r>
        <w:t xml:space="preserve"> </w:t>
      </w:r>
      <w:r>
        <w:t xml:space="preserve">is mostly a Q3 story</w:t>
      </w:r>
    </w:p>
    <w:p>
      <w:pPr>
        <w:pStyle w:val="FirstParagraph"/>
      </w:pPr>
      <w:r>
        <w:t xml:space="preserve">Universal’s</w:t>
      </w:r>
      <w:r>
        <w:t xml:space="preserve"> </w:t>
      </w:r>
      <w:r>
        <w:rPr>
          <w:i/>
          <w:iCs/>
        </w:rPr>
        <w:t xml:space="preserve">The Odyssey</w:t>
      </w:r>
      <w:r>
        <w:t xml:space="preserve"> </w:t>
      </w:r>
      <w:r>
        <w:t xml:space="preserve">generated approximately</w:t>
      </w:r>
      <w:r>
        <w:t xml:space="preserve"> </w:t>
      </w:r>
      <w:r>
        <w:rPr>
          <w:b/>
          <w:bCs/>
        </w:rPr>
        <w:t xml:space="preserve">$265 million globally during its opening weekend</w:t>
      </w:r>
      <w:r>
        <w:t xml:space="preserve">, providing encouraging evidence for the studio slate and the value of NBCUniversal’s intellectual property.</w:t>
      </w:r>
    </w:p>
    <w:p>
      <w:pPr>
        <w:pStyle w:val="BodyText"/>
      </w:pPr>
      <w:r>
        <w:t xml:space="preserve">However, because the film opened after the June quarter ended, its theatrical contribution will primarily appear in</w:t>
      </w:r>
      <w:r>
        <w:t xml:space="preserve"> </w:t>
      </w:r>
      <w:r>
        <w:rPr>
          <w:b/>
          <w:bCs/>
        </w:rPr>
        <w:t xml:space="preserve">Q3</w:t>
      </w:r>
      <w:r>
        <w:t xml:space="preserve">, not Q2. Its relevance to this report is therefore management’s outlook for Studios and the independent NBCUniversal business.</w:t>
      </w:r>
    </w:p>
    <w:p>
      <w:pPr>
        <w:pStyle w:val="BodyText"/>
      </w:pPr>
      <w:r>
        <w:t xml:space="preserve">Investors should avoid interpreting a weaker Q2 Studios result as inconsistent with the film’s success. Film economics are inherently volatile, and release timing can cause substantial quarterly swings.</w:t>
      </w:r>
    </w:p>
    <w:p>
      <w:r>
        <w:pict>
          <v:rect style="width:0;height:1.5pt" o:hralign="center" o:hrstd="t" o:hr="t"/>
        </w:pict>
      </w:r>
    </w:p>
    <w:bookmarkEnd w:id="23"/>
    <w:bookmarkStart w:id="25" w:name="Xeca2b32cf4f8ede5c75e22e5f18203cf670ad62"/>
    <w:p>
      <w:pPr>
        <w:pStyle w:val="Heading2"/>
      </w:pPr>
      <w:r>
        <w:t xml:space="preserve">8. The NBCUniversal/Sky separation may overshadow the quarter</w:t>
      </w:r>
    </w:p>
    <w:p>
      <w:pPr>
        <w:pStyle w:val="FirstParagraph"/>
      </w:pPr>
      <w:r>
        <w:t xml:space="preserve">On June 29, Comcast announced plans to separate into two public companies:</w:t>
      </w:r>
    </w:p>
    <w:p>
      <w:pPr>
        <w:pStyle w:val="Compact"/>
        <w:numPr>
          <w:ilvl w:val="0"/>
          <w:numId w:val="1013"/>
        </w:numPr>
      </w:pPr>
      <w:r>
        <w:rPr>
          <w:b/>
          <w:bCs/>
        </w:rPr>
        <w:t xml:space="preserve">Comcast:</w:t>
      </w:r>
      <w:r>
        <w:t xml:space="preserve"> </w:t>
      </w:r>
      <w:r>
        <w:t xml:space="preserve">Domestic broadband, wireless, business services and technology platforms</w:t>
      </w:r>
    </w:p>
    <w:p>
      <w:pPr>
        <w:pStyle w:val="Compact"/>
        <w:numPr>
          <w:ilvl w:val="0"/>
          <w:numId w:val="1013"/>
        </w:numPr>
      </w:pPr>
      <w:r>
        <w:rPr>
          <w:b/>
          <w:bCs/>
        </w:rPr>
        <w:t xml:space="preserve">NBCUniversal:</w:t>
      </w:r>
      <w:r>
        <w:t xml:space="preserve"> </w:t>
      </w:r>
      <w:r>
        <w:t xml:space="preserve">NBC, Telemundo, Peacock, Bravo, Universal Studios, theme parks and Sky</w:t>
      </w:r>
    </w:p>
    <w:p>
      <w:pPr>
        <w:pStyle w:val="FirstParagraph"/>
      </w:pPr>
      <w:r>
        <w:t xml:space="preserve">The tax-free spin is expected to take approximately one year. Comcast may initially retain up to a</w:t>
      </w:r>
      <w:r>
        <w:t xml:space="preserve"> </w:t>
      </w:r>
      <w:r>
        <w:rPr>
          <w:b/>
          <w:bCs/>
        </w:rPr>
        <w:t xml:space="preserve">19.9% stake</w:t>
      </w:r>
      <w:r>
        <w:t xml:space="preserve"> </w:t>
      </w:r>
      <w:r>
        <w:t xml:space="preserve">in NBCUniversal and monetize it over time. Michael Angelakis is expected to lead Comcast, while Mike Cavanagh will lead NBCUniversal.</w:t>
      </w:r>
    </w:p>
    <w:p>
      <w:pPr>
        <w:pStyle w:val="BodyText"/>
      </w:pPr>
      <w:r>
        <w:t xml:space="preserve">The strategic logic is understandable: the transaction separates a high-cash-flow connectivity company from a media and entertainment company with different capital needs and valuation drivers. But investors still lack enough detail to value the two businesses confidently.</w:t>
      </w:r>
    </w:p>
    <w:bookmarkStart w:id="24" w:name="information-investors-will-want"/>
    <w:p>
      <w:pPr>
        <w:pStyle w:val="Heading3"/>
      </w:pPr>
      <w:r>
        <w:t xml:space="preserve">Information investors will want</w:t>
      </w:r>
    </w:p>
    <w:p>
      <w:pPr>
        <w:pStyle w:val="Compact"/>
        <w:numPr>
          <w:ilvl w:val="0"/>
          <w:numId w:val="1014"/>
        </w:numPr>
      </w:pPr>
      <w:r>
        <w:rPr>
          <w:b/>
          <w:bCs/>
        </w:rPr>
        <w:t xml:space="preserve">Debt allocation:</w:t>
      </w:r>
      <w:r>
        <w:t xml:space="preserve"> </w:t>
      </w:r>
      <w:r>
        <w:t xml:space="preserve">How much of Comcast’s roughly $95 billion of debt will each company assume?</w:t>
      </w:r>
    </w:p>
    <w:p>
      <w:pPr>
        <w:pStyle w:val="Compact"/>
        <w:numPr>
          <w:ilvl w:val="0"/>
          <w:numId w:val="1014"/>
        </w:numPr>
      </w:pPr>
      <w:r>
        <w:rPr>
          <w:b/>
          <w:bCs/>
        </w:rPr>
        <w:t xml:space="preserve">Standalone leverage:</w:t>
      </w:r>
      <w:r>
        <w:t xml:space="preserve"> </w:t>
      </w:r>
      <w:r>
        <w:t xml:space="preserve">What leverage ratios and credit ratings are being targeted?</w:t>
      </w:r>
    </w:p>
    <w:p>
      <w:pPr>
        <w:pStyle w:val="Compact"/>
        <w:numPr>
          <w:ilvl w:val="0"/>
          <w:numId w:val="1014"/>
        </w:numPr>
      </w:pPr>
      <w:r>
        <w:rPr>
          <w:b/>
          <w:bCs/>
        </w:rPr>
        <w:t xml:space="preserve">Cash-flow profiles:</w:t>
      </w:r>
      <w:r>
        <w:t xml:space="preserve"> </w:t>
      </w:r>
      <w:r>
        <w:t xml:space="preserve">What are the pro forma EBITDA, free cash flow and capital intensity of each business?</w:t>
      </w:r>
    </w:p>
    <w:p>
      <w:pPr>
        <w:pStyle w:val="Compact"/>
        <w:numPr>
          <w:ilvl w:val="0"/>
          <w:numId w:val="1014"/>
        </w:numPr>
      </w:pPr>
      <w:r>
        <w:rPr>
          <w:b/>
          <w:bCs/>
        </w:rPr>
        <w:t xml:space="preserve">Capital returns:</w:t>
      </w:r>
      <w:r>
        <w:t xml:space="preserve"> </w:t>
      </w:r>
      <w:r>
        <w:t xml:space="preserve">Will both companies pay dividends or repurchase shares?</w:t>
      </w:r>
    </w:p>
    <w:p>
      <w:pPr>
        <w:pStyle w:val="Compact"/>
        <w:numPr>
          <w:ilvl w:val="0"/>
          <w:numId w:val="1014"/>
        </w:numPr>
      </w:pPr>
      <w:r>
        <w:rPr>
          <w:b/>
          <w:bCs/>
        </w:rPr>
        <w:t xml:space="preserve">Dis-synergies:</w:t>
      </w:r>
      <w:r>
        <w:t xml:space="preserve"> </w:t>
      </w:r>
      <w:r>
        <w:t xml:space="preserve">What corporate overhead and lost cross-company benefits will result?</w:t>
      </w:r>
    </w:p>
    <w:p>
      <w:pPr>
        <w:pStyle w:val="Compact"/>
        <w:numPr>
          <w:ilvl w:val="0"/>
          <w:numId w:val="1014"/>
        </w:numPr>
      </w:pPr>
      <w:r>
        <w:rPr>
          <w:b/>
          <w:bCs/>
        </w:rPr>
        <w:t xml:space="preserve">Commercial agreements:</w:t>
      </w:r>
      <w:r>
        <w:t xml:space="preserve"> </w:t>
      </w:r>
      <w:r>
        <w:t xml:space="preserve">How will advertising, content licensing, technology and distribution relationships operate after separation?</w:t>
      </w:r>
    </w:p>
    <w:p>
      <w:pPr>
        <w:pStyle w:val="Compact"/>
        <w:numPr>
          <w:ilvl w:val="0"/>
          <w:numId w:val="1014"/>
        </w:numPr>
      </w:pPr>
      <w:r>
        <w:rPr>
          <w:b/>
          <w:bCs/>
        </w:rPr>
        <w:t xml:space="preserve">Retained stake:</w:t>
      </w:r>
      <w:r>
        <w:t xml:space="preserve"> </w:t>
      </w:r>
      <w:r>
        <w:t xml:space="preserve">When and how does Comcast expect to monetize its remaining NBCUniversal interest?</w:t>
      </w:r>
    </w:p>
    <w:p>
      <w:pPr>
        <w:pStyle w:val="Compact"/>
        <w:numPr>
          <w:ilvl w:val="0"/>
          <w:numId w:val="1014"/>
        </w:numPr>
      </w:pPr>
      <w:r>
        <w:rPr>
          <w:b/>
          <w:bCs/>
        </w:rPr>
        <w:t xml:space="preserve">Governance:</w:t>
      </w:r>
      <w:r>
        <w:t xml:space="preserve"> </w:t>
      </w:r>
      <w:r>
        <w:t xml:space="preserve">How will Brian Roberts’ involvement and the dual-class structures affect minority shareholders?</w:t>
      </w:r>
    </w:p>
    <w:p>
      <w:pPr>
        <w:pStyle w:val="Compact"/>
        <w:numPr>
          <w:ilvl w:val="0"/>
          <w:numId w:val="1014"/>
        </w:numPr>
      </w:pPr>
      <w:r>
        <w:rPr>
          <w:b/>
          <w:bCs/>
        </w:rPr>
        <w:t xml:space="preserve">Timeline:</w:t>
      </w:r>
      <w:r>
        <w:t xml:space="preserve"> </w:t>
      </w:r>
      <w:r>
        <w:t xml:space="preserve">Are financing, regulatory and tax work proceeding as expected?</w:t>
      </w:r>
    </w:p>
    <w:p>
      <w:pPr>
        <w:pStyle w:val="FirstParagraph"/>
      </w:pPr>
      <w:r>
        <w:t xml:space="preserve">The strongest possible call would pair stable operating results with tangible transaction milestones. A vague update would leave the market focused almost entirely on broadband pressure.</w:t>
      </w:r>
    </w:p>
    <w:p>
      <w:r>
        <w:pict>
          <v:rect style="width:0;height:1.5pt" o:hralign="center" o:hrstd="t" o:hr="t"/>
        </w:pict>
      </w:r>
    </w:p>
    <w:bookmarkEnd w:id="24"/>
    <w:bookmarkEnd w:id="25"/>
    <w:bookmarkStart w:id="26" w:name="capital-allocation-and-balance-sheet"/>
    <w:p>
      <w:pPr>
        <w:pStyle w:val="Heading2"/>
      </w:pPr>
      <w:r>
        <w:t xml:space="preserve">Capital allocation and balance sheet</w:t>
      </w:r>
    </w:p>
    <w:p>
      <w:pPr>
        <w:pStyle w:val="FirstParagraph"/>
      </w:pPr>
      <w:r>
        <w:t xml:space="preserve">Comcast entered Q2 with:</w:t>
      </w:r>
    </w:p>
    <w:p>
      <w:pPr>
        <w:pStyle w:val="Compact"/>
        <w:numPr>
          <w:ilvl w:val="0"/>
          <w:numId w:val="1015"/>
        </w:numPr>
      </w:pPr>
      <w:r>
        <w:t xml:space="preserve">Approximately</w:t>
      </w:r>
      <w:r>
        <w:t xml:space="preserve"> </w:t>
      </w:r>
      <w:r>
        <w:rPr>
          <w:b/>
          <w:bCs/>
        </w:rPr>
        <w:t xml:space="preserve">$9.5 billion of cash</w:t>
      </w:r>
    </w:p>
    <w:p>
      <w:pPr>
        <w:pStyle w:val="Compact"/>
        <w:numPr>
          <w:ilvl w:val="0"/>
          <w:numId w:val="1015"/>
        </w:numPr>
      </w:pPr>
      <w:r>
        <w:t xml:space="preserve">Approximately</w:t>
      </w:r>
      <w:r>
        <w:t xml:space="preserve"> </w:t>
      </w:r>
      <w:r>
        <w:rPr>
          <w:b/>
          <w:bCs/>
        </w:rPr>
        <w:t xml:space="preserve">$94.6 billion of debt</w:t>
      </w:r>
    </w:p>
    <w:p>
      <w:pPr>
        <w:pStyle w:val="Compact"/>
        <w:numPr>
          <w:ilvl w:val="0"/>
          <w:numId w:val="1015"/>
        </w:numPr>
      </w:pPr>
      <w:r>
        <w:t xml:space="preserve">Reported net leverage of</w:t>
      </w:r>
      <w:r>
        <w:t xml:space="preserve"> </w:t>
      </w:r>
      <w:r>
        <w:rPr>
          <w:b/>
          <w:bCs/>
        </w:rPr>
        <w:t xml:space="preserve">2.3x</w:t>
      </w:r>
    </w:p>
    <w:p>
      <w:pPr>
        <w:pStyle w:val="Compact"/>
        <w:numPr>
          <w:ilvl w:val="0"/>
          <w:numId w:val="1015"/>
        </w:numPr>
      </w:pPr>
      <w:r>
        <w:t xml:space="preserve">$7.6 billion remaining on its repurchase authorization</w:t>
      </w:r>
    </w:p>
    <w:p>
      <w:pPr>
        <w:pStyle w:val="Compact"/>
        <w:numPr>
          <w:ilvl w:val="0"/>
          <w:numId w:val="1015"/>
        </w:numPr>
      </w:pPr>
      <w:r>
        <w:t xml:space="preserve">A $1.32 annualized dividend</w:t>
      </w:r>
    </w:p>
    <w:p>
      <w:pPr>
        <w:pStyle w:val="Compact"/>
        <w:numPr>
          <w:ilvl w:val="0"/>
          <w:numId w:val="1015"/>
        </w:numPr>
      </w:pPr>
      <w:r>
        <w:t xml:space="preserve">$3.9 billion of Q1 free cash flow</w:t>
      </w:r>
    </w:p>
    <w:p>
      <w:pPr>
        <w:pStyle w:val="FirstParagraph"/>
      </w:pPr>
      <w:r>
        <w:t xml:space="preserve">Management returned $2.5 billion to shareholders in Q1, including $1.25 billion of repurchases. The depressed stock price supports continued buybacks, but the separation introduces uncertainty around debt allocation and future capital-return policies.</w:t>
      </w:r>
    </w:p>
    <w:p>
      <w:pPr>
        <w:pStyle w:val="BodyText"/>
      </w:pPr>
      <w:r>
        <w:t xml:space="preserve">A major slowdown in repurchases could disappoint investors unless it is clearly tied to establishing strong investment-grade balance sheets for both post-separation companies.</w:t>
      </w:r>
    </w:p>
    <w:p>
      <w:r>
        <w:pict>
          <v:rect style="width:0;height:1.5pt" o:hralign="center" o:hrstd="t" o:hr="t"/>
        </w:pict>
      </w:r>
    </w:p>
    <w:bookmarkEnd w:id="26"/>
    <w:bookmarkStart w:id="27" w:name="earnings-day-scorecard"/>
    <w:p>
      <w:pPr>
        <w:pStyle w:val="Heading2"/>
      </w:pPr>
      <w:r>
        <w:t xml:space="preserve">Earnings-day scorecard</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Bullish</w:t>
            </w:r>
          </w:p>
        </w:tc>
        <w:tc>
          <w:tcPr/>
          <w:p>
            <w:pPr>
              <w:pStyle w:val="Compact"/>
              <w:jc w:val="right"/>
            </w:pPr>
            <w:r>
              <w:t xml:space="preserve">Neutral</w:t>
            </w:r>
          </w:p>
        </w:tc>
        <w:tc>
          <w:tcPr/>
          <w:p>
            <w:pPr>
              <w:pStyle w:val="Compact"/>
              <w:jc w:val="right"/>
            </w:pPr>
            <w:r>
              <w:t xml:space="preserve">Bearish</w:t>
            </w:r>
          </w:p>
        </w:tc>
      </w:tr>
      <w:tr>
        <w:tc>
          <w:tcPr/>
          <w:p>
            <w:pPr>
              <w:pStyle w:val="Compact"/>
            </w:pPr>
            <w:r>
              <w:t xml:space="preserve">Domestic broadband net losses</w:t>
            </w:r>
          </w:p>
        </w:tc>
        <w:tc>
          <w:tcPr/>
          <w:p>
            <w:pPr>
              <w:pStyle w:val="Compact"/>
              <w:jc w:val="right"/>
            </w:pPr>
            <w:r>
              <w:t xml:space="preserve">Better than</w:t>
            </w:r>
            <w:r>
              <w:t xml:space="preserve"> </w:t>
            </w:r>
            <w:r>
              <w:rPr>
                <w:b/>
                <w:bCs/>
              </w:rPr>
              <w:t xml:space="preserve">125,000</w:t>
            </w:r>
          </w:p>
        </w:tc>
        <w:tc>
          <w:tcPr/>
          <w:p>
            <w:pPr>
              <w:pStyle w:val="Compact"/>
              <w:jc w:val="right"/>
            </w:pPr>
            <w:r>
              <w:rPr>
                <w:b/>
                <w:bCs/>
              </w:rPr>
              <w:t xml:space="preserve">125,000–180,000</w:t>
            </w:r>
          </w:p>
        </w:tc>
        <w:tc>
          <w:tcPr/>
          <w:p>
            <w:pPr>
              <w:pStyle w:val="Compact"/>
              <w:jc w:val="right"/>
            </w:pPr>
            <w:r>
              <w:t xml:space="preserve">Worse than</w:t>
            </w:r>
            <w:r>
              <w:t xml:space="preserve"> </w:t>
            </w:r>
            <w:r>
              <w:rPr>
                <w:b/>
                <w:bCs/>
              </w:rPr>
              <w:t xml:space="preserve">200,000</w:t>
            </w:r>
          </w:p>
        </w:tc>
      </w:tr>
      <w:tr>
        <w:tc>
          <w:tcPr/>
          <w:p>
            <w:pPr>
              <w:pStyle w:val="Compact"/>
            </w:pPr>
            <w:r>
              <w:t xml:space="preserve">Broadband ARPU</w:t>
            </w:r>
          </w:p>
        </w:tc>
        <w:tc>
          <w:tcPr/>
          <w:p>
            <w:pPr>
              <w:pStyle w:val="Compact"/>
              <w:jc w:val="right"/>
            </w:pPr>
            <w:r>
              <w:t xml:space="preserve">Near Q1’s -3.1% or improving</w:t>
            </w:r>
          </w:p>
        </w:tc>
        <w:tc>
          <w:tcPr/>
          <w:p>
            <w:pPr>
              <w:pStyle w:val="Compact"/>
              <w:jc w:val="right"/>
            </w:pPr>
            <w:r>
              <w:t xml:space="preserve">Moderate incremental pressure</w:t>
            </w:r>
          </w:p>
        </w:tc>
        <w:tc>
          <w:tcPr/>
          <w:p>
            <w:pPr>
              <w:pStyle w:val="Compact"/>
              <w:jc w:val="right"/>
            </w:pPr>
            <w:r>
              <w:t xml:space="preserve">Materially worse with weak volumes</w:t>
            </w:r>
          </w:p>
        </w:tc>
      </w:tr>
      <w:tr>
        <w:tc>
          <w:tcPr/>
          <w:p>
            <w:pPr>
              <w:pStyle w:val="Compact"/>
            </w:pPr>
            <w:r>
              <w:t xml:space="preserve">Wireless net additions</w:t>
            </w:r>
          </w:p>
        </w:tc>
        <w:tc>
          <w:tcPr/>
          <w:p>
            <w:pPr>
              <w:pStyle w:val="Compact"/>
              <w:jc w:val="right"/>
            </w:pPr>
            <w:r>
              <w:t xml:space="preserve">Above</w:t>
            </w:r>
            <w:r>
              <w:t xml:space="preserve"> </w:t>
            </w:r>
            <w:r>
              <w:rPr>
                <w:b/>
                <w:bCs/>
              </w:rPr>
              <w:t xml:space="preserve">400,000</w:t>
            </w:r>
          </w:p>
        </w:tc>
        <w:tc>
          <w:tcPr/>
          <w:p>
            <w:pPr>
              <w:pStyle w:val="Compact"/>
              <w:jc w:val="right"/>
            </w:pPr>
            <w:r>
              <w:rPr>
                <w:b/>
                <w:bCs/>
              </w:rPr>
              <w:t xml:space="preserve">325,000–400,000</w:t>
            </w:r>
          </w:p>
        </w:tc>
        <w:tc>
          <w:tcPr/>
          <w:p>
            <w:pPr>
              <w:pStyle w:val="Compact"/>
              <w:jc w:val="right"/>
            </w:pPr>
            <w:r>
              <w:t xml:space="preserve">Below</w:t>
            </w:r>
            <w:r>
              <w:t xml:space="preserve"> </w:t>
            </w:r>
            <w:r>
              <w:rPr>
                <w:b/>
                <w:bCs/>
              </w:rPr>
              <w:t xml:space="preserve">300,000</w:t>
            </w:r>
          </w:p>
        </w:tc>
      </w:tr>
      <w:tr>
        <w:tc>
          <w:tcPr/>
          <w:p>
            <w:pPr>
              <w:pStyle w:val="Compact"/>
            </w:pPr>
            <w:r>
              <w:t xml:space="preserve">Free-line conversion</w:t>
            </w:r>
          </w:p>
        </w:tc>
        <w:tc>
          <w:tcPr/>
          <w:p>
            <w:pPr>
              <w:pStyle w:val="Compact"/>
              <w:jc w:val="right"/>
            </w:pPr>
            <w:r>
              <w:t xml:space="preserve">Strong majority converting to paid</w:t>
            </w:r>
          </w:p>
        </w:tc>
        <w:tc>
          <w:tcPr/>
          <w:p>
            <w:pPr>
              <w:pStyle w:val="Compact"/>
              <w:jc w:val="right"/>
            </w:pPr>
            <w:r>
              <w:t xml:space="preserve">Too early, but encouraging</w:t>
            </w:r>
          </w:p>
        </w:tc>
        <w:tc>
          <w:tcPr/>
          <w:p>
            <w:pPr>
              <w:pStyle w:val="Compact"/>
              <w:jc w:val="right"/>
            </w:pPr>
            <w:r>
              <w:t xml:space="preserve">Elevated churn or weak conversion</w:t>
            </w:r>
          </w:p>
        </w:tc>
      </w:tr>
      <w:tr>
        <w:tc>
          <w:tcPr/>
          <w:p>
            <w:pPr>
              <w:pStyle w:val="Compact"/>
            </w:pPr>
            <w:r>
              <w:t xml:space="preserve">Peacock EBITDA</w:t>
            </w:r>
          </w:p>
        </w:tc>
        <w:tc>
          <w:tcPr/>
          <w:p>
            <w:pPr>
              <w:pStyle w:val="Compact"/>
              <w:jc w:val="right"/>
            </w:pPr>
            <w:r>
              <w:t xml:space="preserve">Breakeven/profitable</w:t>
            </w:r>
          </w:p>
        </w:tc>
        <w:tc>
          <w:tcPr/>
          <w:p>
            <w:pPr>
              <w:pStyle w:val="Compact"/>
              <w:jc w:val="right"/>
            </w:pPr>
            <w:r>
              <w:t xml:space="preserve">Small loss with clear progress</w:t>
            </w:r>
          </w:p>
        </w:tc>
        <w:tc>
          <w:tcPr/>
          <w:p>
            <w:pPr>
              <w:pStyle w:val="Compact"/>
              <w:jc w:val="right"/>
            </w:pPr>
            <w:r>
              <w:t xml:space="preserve">Large loss or weaker outlook</w:t>
            </w:r>
          </w:p>
        </w:tc>
      </w:tr>
      <w:tr>
        <w:tc>
          <w:tcPr/>
          <w:p>
            <w:pPr>
              <w:pStyle w:val="Compact"/>
            </w:pPr>
            <w:r>
              <w:t xml:space="preserve">Connectivity EBITDA</w:t>
            </w:r>
          </w:p>
        </w:tc>
        <w:tc>
          <w:tcPr/>
          <w:p>
            <w:pPr>
              <w:pStyle w:val="Compact"/>
              <w:jc w:val="right"/>
            </w:pPr>
            <w:r>
              <w:t xml:space="preserve">Decline moderates</w:t>
            </w:r>
          </w:p>
        </w:tc>
        <w:tc>
          <w:tcPr/>
          <w:p>
            <w:pPr>
              <w:pStyle w:val="Compact"/>
              <w:jc w:val="right"/>
            </w:pPr>
            <w:r>
              <w:t xml:space="preserve">In line with prior warnings</w:t>
            </w:r>
          </w:p>
        </w:tc>
        <w:tc>
          <w:tcPr/>
          <w:p>
            <w:pPr>
              <w:pStyle w:val="Compact"/>
              <w:jc w:val="right"/>
            </w:pPr>
            <w:r>
              <w:t xml:space="preserve">Sharper contraction, weak second-half outlook</w:t>
            </w:r>
          </w:p>
        </w:tc>
      </w:tr>
      <w:tr>
        <w:tc>
          <w:tcPr/>
          <w:p>
            <w:pPr>
              <w:pStyle w:val="Compact"/>
            </w:pPr>
            <w:r>
              <w:t xml:space="preserve">NBCU separation</w:t>
            </w:r>
          </w:p>
        </w:tc>
        <w:tc>
          <w:tcPr/>
          <w:p>
            <w:pPr>
              <w:pStyle w:val="Compact"/>
              <w:jc w:val="right"/>
            </w:pPr>
            <w:r>
              <w:t xml:space="preserve">Concrete debt and FCF details</w:t>
            </w:r>
          </w:p>
        </w:tc>
        <w:tc>
          <w:tcPr/>
          <w:p>
            <w:pPr>
              <w:pStyle w:val="Compact"/>
              <w:jc w:val="right"/>
            </w:pPr>
            <w:r>
              <w:t xml:space="preserve">Timeline reiterated</w:t>
            </w:r>
          </w:p>
        </w:tc>
        <w:tc>
          <w:tcPr/>
          <w:p>
            <w:pPr>
              <w:pStyle w:val="Compact"/>
              <w:jc w:val="right"/>
            </w:pPr>
            <w:r>
              <w:t xml:space="preserve">Vague update or new execution risks</w:t>
            </w:r>
          </w:p>
        </w:tc>
      </w:tr>
    </w:tbl>
    <w:bookmarkEnd w:id="27"/>
    <w:bookmarkStart w:id="28" w:name="bottom-line"/>
    <w:p>
      <w:pPr>
        <w:pStyle w:val="Heading2"/>
      </w:pPr>
      <w:r>
        <w:t xml:space="preserve">Bottom line</w:t>
      </w:r>
    </w:p>
    <w:p>
      <w:pPr>
        <w:pStyle w:val="FirstParagraph"/>
      </w:pPr>
      <w:r>
        <w:t xml:space="preserve">The cleanest bullish thesis is that Comcast’s broadband losses are stabilizing, wireless is becoming a genuine monetization and retention tool, and Peacock has passed peak losses—all while the NBCUniversal separation makes the company easier to value.</w:t>
      </w:r>
    </w:p>
    <w:p>
      <w:pPr>
        <w:pStyle w:val="BodyText"/>
      </w:pPr>
      <w:r>
        <w:t xml:space="preserve">The bear thesis is that Comcast is using lower broadband pricing and free wireless service to slow subscriber losses, causing sustained ARPU and EBITDA deterioration without solving the underlying competitive problem.</w:t>
      </w:r>
    </w:p>
    <w:p>
      <w:pPr>
        <w:pStyle w:val="BodyText"/>
      </w:pPr>
      <w:r>
        <w:t xml:space="preserve">For this report,</w:t>
      </w:r>
      <w:r>
        <w:t xml:space="preserve"> </w:t>
      </w:r>
      <w:r>
        <w:rPr>
          <w:b/>
          <w:bCs/>
        </w:rPr>
        <w:t xml:space="preserve">broadband losses relative to approximately 165,000 consensus and management’s commentary on ARPU and second-half improvement should drive the initial reaction</w:t>
      </w:r>
      <w:r>
        <w:t xml:space="preserve">. Peacock profitability and separation details could then determine whether any earnings move persists. The stock’s depressed valuation means an unremarkable quarter with credible stabilization may be enough for upside, but a deterioration in both subscribers and connectivity economics would be difficult to dismiss.</w:t>
      </w:r>
    </w:p>
    <w:bookmarkEnd w:id="28"/>
    <w:bookmarkEnd w:id="2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2026-07-23T00:24:03Z</dcterms:created>
  <dcterms:modified xsi:type="dcterms:W3CDTF">2026-07-23T00:24:03Z</dcterms:modified>
</cp:coreProperties>
</file>

<file path=docProps/custom.xml><?xml version="1.0" encoding="utf-8"?>
<Properties xmlns="http://schemas.openxmlformats.org/officeDocument/2006/custom-properties" xmlns:vt="http://schemas.openxmlformats.org/officeDocument/2006/docPropsVTypes"/>
</file>