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cmcsa-2q26-earnings-preview"/>
    <w:p>
      <w:pPr>
        <w:pStyle w:val="Heading1"/>
      </w:pPr>
      <w:r>
        <w:t xml:space="preserve">CMCSA 2Q26 Earnings Preview</w:t>
      </w:r>
    </w:p>
    <w:p>
      <w:pPr>
        <w:pStyle w:val="BlockText"/>
      </w:pPr>
      <w:r>
        <w:rPr>
          <w:b/>
          <w:bCs/>
        </w:rPr>
        <w:t xml:space="preserve">Timing note:</w:t>
      </w:r>
      <w:r>
        <w:t xml:space="preserve"> </w:t>
      </w:r>
      <w:r>
        <w:t xml:space="preserve">The referenced earnings date—</w:t>
      </w:r>
      <w:r>
        <w:rPr>
          <w:b/>
          <w:bCs/>
        </w:rPr>
        <w:t xml:space="preserve">July 23, 2026</w:t>
      </w:r>
      <w:r>
        <w:t xml:space="preserve">—is</w:t>
      </w:r>
      <w:r>
        <w:t xml:space="preserve"> </w:t>
      </w:r>
      <w:r>
        <w:rPr>
          <w:b/>
          <w:bCs/>
        </w:rPr>
        <w:t xml:space="preserve">today</w:t>
      </w:r>
      <w:r>
        <w:t xml:space="preserve">, not tomorrow. This preview is based on information available through the</w:t>
      </w:r>
      <w:r>
        <w:t xml:space="preserve"> </w:t>
      </w:r>
      <w:r>
        <w:rPr>
          <w:b/>
          <w:bCs/>
        </w:rPr>
        <w:t xml:space="preserve">July 22 market close</w:t>
      </w:r>
      <w:r>
        <w:t xml:space="preserve"> </w:t>
      </w:r>
      <w:r>
        <w:t xml:space="preserve">and assumes Comcast reports before the market opens today.</w:t>
      </w:r>
    </w:p>
    <w:bookmarkStart w:id="9" w:name="X616dec3bd28ca09f2be717dfca44be5cc7e1971"/>
    <w:p>
      <w:pPr>
        <w:pStyle w:val="Heading2"/>
      </w:pPr>
      <w:r>
        <w:t xml:space="preserve">Investment view: the report is about whether the connectivity turnaround is becoming durable</w:t>
      </w:r>
    </w:p>
    <w:p>
      <w:pPr>
        <w:pStyle w:val="FirstParagraph"/>
      </w:pPr>
      <w:r>
        <w:t xml:space="preserve">Comcast enters 2Q26 earnings with a much more attractive strategic narrative than it had one month ago: on June 29, it announced plans to separate</w:t>
      </w:r>
      <w:r>
        <w:t xml:space="preserve"> </w:t>
      </w:r>
      <w:r>
        <w:rPr>
          <w:b/>
          <w:bCs/>
        </w:rPr>
        <w:t xml:space="preserve">NBCUniversal and Sky</w:t>
      </w:r>
      <w:r>
        <w:t xml:space="preserve"> </w:t>
      </w:r>
      <w:r>
        <w:t xml:space="preserve">from the connectivity business in a tax-free spin expected in approximately one year. The announcement has created a credible value-unlock catalyst and lifted the shares initially, but investors will still judge the core Comcast business primarily on broadband subscriber trends, the economics of its wireless-led convergence strategy, and connectivity margins.</w:t>
      </w:r>
    </w:p>
    <w:p>
      <w:pPr>
        <w:pStyle w:val="BodyText"/>
      </w:pPr>
      <w:r>
        <w:t xml:space="preserve">The stock closed at</w:t>
      </w:r>
      <w:r>
        <w:t xml:space="preserve"> </w:t>
      </w:r>
      <m:oMath>
        <m:r>
          <m:t>23.54</m:t>
        </m:r>
        <m:r>
          <m:t>o</m:t>
        </m:r>
        <m:r>
          <m:t>n</m:t>
        </m:r>
        <m:r>
          <m:t>J</m:t>
        </m:r>
        <m:r>
          <m:t>u</m:t>
        </m:r>
        <m:r>
          <m:t>l</m:t>
        </m:r>
        <m:r>
          <m:t>y</m:t>
        </m:r>
        <m:r>
          <m:t>22</m:t>
        </m:r>
        <m:r>
          <m:rPr>
            <m:sty m:val="p"/>
          </m:rPr>
          <m:t>*</m:t>
        </m:r>
        <m:r>
          <m:rPr>
            <m:sty m:val="p"/>
          </m:rPr>
          <m:t>*</m:t>
        </m:r>
        <m:r>
          <m:rPr>
            <m:sty m:val="p"/>
          </m:rPr>
          <m:t>,</m:t>
        </m:r>
        <m:r>
          <m:t>m</m:t>
        </m:r>
        <m:r>
          <m:t>o</m:t>
        </m:r>
        <m:r>
          <m:t>d</m:t>
        </m:r>
        <m:r>
          <m:t>e</m:t>
        </m:r>
        <m:r>
          <m:t>s</m:t>
        </m:r>
        <m:r>
          <m:t>t</m:t>
        </m:r>
        <m:r>
          <m:t>l</m:t>
        </m:r>
        <m:r>
          <m:t>y</m:t>
        </m:r>
        <m:r>
          <m:t>a</m:t>
        </m:r>
        <m:r>
          <m:t>b</m:t>
        </m:r>
        <m:r>
          <m:t>o</m:t>
        </m:r>
        <m:r>
          <m:t>v</m:t>
        </m:r>
        <m:r>
          <m:t>e</m:t>
        </m:r>
        <m:r>
          <m:t>i</m:t>
        </m:r>
        <m:r>
          <m:t>t</m:t>
        </m:r>
        <m:r>
          <m:t>s</m:t>
        </m:r>
        <m:r>
          <m:rPr>
            <m:sty m:val="p"/>
          </m:rPr>
          <m:t>*</m:t>
        </m:r>
        <m:r>
          <m:rPr>
            <m:sty m:val="p"/>
          </m:rPr>
          <m:t>*</m:t>
        </m:r>
      </m:oMath>
      <w:r>
        <w:rPr>
          <w:b/>
          <w:bCs/>
        </w:rPr>
        <w:t xml:space="preserve">23.17</w:t>
      </w:r>
      <w:r>
        <w:t xml:space="preserve"> </w:t>
      </w:r>
      <w:r>
        <w:t xml:space="preserve">close on June 26, immediately before the separation announcement. That relatively muted net move underscores the point: a cleaner corporate structure may improve the valuation framework, but the market still needs proof that broadband pressure is stabilizing.</w:t>
      </w:r>
    </w:p>
    <w:p>
      <w:pPr>
        <w:pStyle w:val="BodyText"/>
      </w:pPr>
      <w:r>
        <w:t xml:space="preserve">The setup appears</w:t>
      </w:r>
      <w:r>
        <w:t xml:space="preserve"> </w:t>
      </w:r>
      <w:r>
        <w:rPr>
          <w:b/>
          <w:bCs/>
        </w:rPr>
        <w:t xml:space="preserve">low-barred</w:t>
      </w:r>
      <w:r>
        <w:t xml:space="preserve">. Street expectations are for approximately</w:t>
      </w:r>
      <w:r>
        <w:t xml:space="preserve"> </w:t>
      </w:r>
      <m:oMath>
        <m:r>
          <m:t>29.3</m:t>
        </m:r>
        <m:r>
          <m:t>b</m:t>
        </m:r>
        <m:r>
          <m:t>i</m:t>
        </m:r>
        <m:r>
          <m:t>l</m:t>
        </m:r>
        <m:r>
          <m:t>l</m:t>
        </m:r>
        <m:r>
          <m:t>i</m:t>
        </m:r>
        <m:r>
          <m:t>o</m:t>
        </m:r>
        <m:r>
          <m:t>n</m:t>
        </m:r>
        <m:r>
          <m:t>o</m:t>
        </m:r>
        <m:r>
          <m:t>f</m:t>
        </m:r>
        <m:r>
          <m:t>r</m:t>
        </m:r>
        <m:r>
          <m:t>e</m:t>
        </m:r>
        <m:r>
          <m:t>v</m:t>
        </m:r>
        <m:r>
          <m:t>e</m:t>
        </m:r>
        <m:r>
          <m:t>n</m:t>
        </m:r>
        <m:r>
          <m:t>u</m:t>
        </m:r>
        <m:r>
          <m:t>e</m:t>
        </m:r>
        <m:r>
          <m:rPr>
            <m:sty m:val="p"/>
          </m:rPr>
          <m:t>*</m:t>
        </m:r>
        <m:r>
          <m:rPr>
            <m:sty m:val="p"/>
          </m:rPr>
          <m:t>*</m:t>
        </m:r>
        <m:r>
          <m:rPr>
            <m:sty m:val="p"/>
          </m:rPr>
          <m:t>(</m:t>
        </m:r>
        <m:r>
          <m:t>d</m:t>
        </m:r>
        <m:r>
          <m:t>o</m:t>
        </m:r>
        <m:r>
          <m:t>w</m:t>
        </m:r>
        <m:r>
          <m:t>n</m:t>
        </m:r>
        <m:r>
          <m:t>3.6</m:t>
        </m:r>
      </m:oMath>
      <w:r>
        <w:rPr>
          <w:b/>
          <w:bCs/>
        </w:rPr>
        <w:t xml:space="preserve">0.97 of EPS</w:t>
      </w:r>
      <w:r>
        <w:t xml:space="preserve"> </w:t>
      </w:r>
      <w:r>
        <w:t xml:space="preserve">(down about 18%), and</w:t>
      </w:r>
      <w:r>
        <w:t xml:space="preserve"> </w:t>
      </w:r>
      <w:r>
        <w:rPr>
          <w:b/>
          <w:bCs/>
        </w:rPr>
        <w:t xml:space="preserve">165,300 domestic broadband net losses</w:t>
      </w:r>
      <w:r>
        <w:t xml:space="preserve">. The principal upside catalyst is a materially better broadband-loss result coupled with confirmation that the company can preserve the gains from its revised pricing, packaging, sales, and customer-experience initiatives without further margin deterioration.</w:t>
      </w:r>
    </w:p>
    <w:bookmarkEnd w:id="9"/>
    <w:bookmarkStart w:id="10" w:name="what-investors-are-expecting"/>
    <w:p>
      <w:pPr>
        <w:pStyle w:val="Heading2"/>
      </w:pPr>
      <w:r>
        <w:t xml:space="preserve">What investors are expecting</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2Q26 expectation / focus</w:t>
            </w:r>
          </w:p>
        </w:tc>
      </w:tr>
      <w:tr>
        <w:tc>
          <w:tcPr/>
          <w:p>
            <w:pPr>
              <w:pStyle w:val="Compact"/>
            </w:pPr>
            <w:r>
              <w:t xml:space="preserve">Revenue</w:t>
            </w:r>
          </w:p>
        </w:tc>
        <w:tc>
          <w:tcPr/>
          <w:p>
            <w:pPr>
              <w:pStyle w:val="Compact"/>
              <w:jc w:val="right"/>
            </w:pPr>
            <w:r>
              <w:t xml:space="preserve">~$29.3 billion</w:t>
            </w:r>
          </w:p>
        </w:tc>
      </w:tr>
      <w:tr>
        <w:tc>
          <w:tcPr/>
          <w:p>
            <w:pPr>
              <w:pStyle w:val="Compact"/>
            </w:pPr>
            <w:r>
              <w:t xml:space="preserve">Adjusted EPS</w:t>
            </w:r>
          </w:p>
        </w:tc>
        <w:tc>
          <w:tcPr/>
          <w:p>
            <w:pPr>
              <w:pStyle w:val="Compact"/>
              <w:jc w:val="right"/>
            </w:pPr>
            <w:r>
              <w:t xml:space="preserve">~$0.97</w:t>
            </w:r>
          </w:p>
        </w:tc>
      </w:tr>
      <w:tr>
        <w:tc>
          <w:tcPr/>
          <w:p>
            <w:pPr>
              <w:pStyle w:val="Compact"/>
            </w:pPr>
            <w:r>
              <w:t xml:space="preserve">Domestic broadband net additions</w:t>
            </w:r>
          </w:p>
        </w:tc>
        <w:tc>
          <w:tcPr/>
          <w:p>
            <w:pPr>
              <w:pStyle w:val="Compact"/>
              <w:jc w:val="right"/>
            </w:pPr>
            <w:r>
              <w:rPr>
                <w:b/>
                <w:bCs/>
              </w:rPr>
              <w:t xml:space="preserve">(165,300)</w:t>
            </w:r>
          </w:p>
        </w:tc>
      </w:tr>
      <w:tr>
        <w:tc>
          <w:tcPr/>
          <w:p>
            <w:pPr>
              <w:pStyle w:val="Compact"/>
            </w:pPr>
            <w:r>
              <w:t xml:space="preserve">Primary debate</w:t>
            </w:r>
          </w:p>
        </w:tc>
        <w:tc>
          <w:tcPr/>
          <w:p>
            <w:pPr>
              <w:pStyle w:val="Compact"/>
              <w:jc w:val="right"/>
            </w:pPr>
            <w:r>
              <w:t xml:space="preserve">Can Comcast demonstrate a sustainable improvement in broadband acquisition and churn?</w:t>
            </w:r>
          </w:p>
        </w:tc>
      </w:tr>
      <w:tr>
        <w:tc>
          <w:tcPr/>
          <w:p>
            <w:pPr>
              <w:pStyle w:val="Compact"/>
            </w:pPr>
            <w:r>
              <w:t xml:space="preserve">Secondary debate</w:t>
            </w:r>
          </w:p>
        </w:tc>
        <w:tc>
          <w:tcPr/>
          <w:p>
            <w:pPr>
              <w:pStyle w:val="Compact"/>
              <w:jc w:val="right"/>
            </w:pPr>
            <w:r>
              <w:t xml:space="preserve">Is wireless becoming a profitable convergence engine rather than merely a retention tool?</w:t>
            </w:r>
          </w:p>
        </w:tc>
      </w:tr>
      <w:tr>
        <w:tc>
          <w:tcPr/>
          <w:p>
            <w:pPr>
              <w:pStyle w:val="Compact"/>
            </w:pPr>
            <w:r>
              <w:t xml:space="preserve">Valuation catalyst</w:t>
            </w:r>
          </w:p>
        </w:tc>
        <w:tc>
          <w:tcPr/>
          <w:p>
            <w:pPr>
              <w:pStyle w:val="Compact"/>
              <w:jc w:val="right"/>
            </w:pPr>
            <w:r>
              <w:t xml:space="preserve">Details, timing, capital structure, and dis-synergies associated with the NBCUniversal/Sky separation</w:t>
            </w:r>
          </w:p>
        </w:tc>
      </w:tr>
    </w:tbl>
    <w:p>
      <w:pPr>
        <w:pStyle w:val="BodyText"/>
      </w:pPr>
      <w:r>
        <w:rPr>
          <w:i/>
          <w:iCs/>
        </w:rPr>
        <w:t xml:space="preserve">Consensus figures above are reported FactSet expectations as cited in financial press on July 22.</w:t>
      </w:r>
    </w:p>
    <w:bookmarkEnd w:id="10"/>
    <w:bookmarkStart w:id="13" w:name="Xe3854a1f6ee27e6548326d0543656f67c6616f1"/>
    <w:p>
      <w:pPr>
        <w:pStyle w:val="Heading2"/>
      </w:pPr>
      <w:r>
        <w:t xml:space="preserve">The key KPI: domestic broadband net additions</w:t>
      </w:r>
    </w:p>
    <w:p>
      <w:pPr>
        <w:pStyle w:val="FirstParagraph"/>
      </w:pPr>
      <w:r>
        <w:t xml:space="preserve">Broadband remains the swing factor. In 1Q26 Comcast lost</w:t>
      </w:r>
      <w:r>
        <w:t xml:space="preserve"> </w:t>
      </w:r>
      <w:r>
        <w:rPr>
          <w:b/>
          <w:bCs/>
        </w:rPr>
        <w:t xml:space="preserve">65,000 domestic residential broadband customers</w:t>
      </w:r>
      <w:r>
        <w:t xml:space="preserve">, an improvement of</w:t>
      </w:r>
      <w:r>
        <w:t xml:space="preserve"> </w:t>
      </w:r>
      <w:r>
        <w:rPr>
          <w:b/>
          <w:bCs/>
        </w:rPr>
        <w:t xml:space="preserve">117,000 year over year</w:t>
      </w:r>
      <w:r>
        <w:t xml:space="preserve">, while its new go-to-market approach began to show traction. Management attributed the improvement to both a major marketing moment around the Olympics and Super Bowl and an underlying improvement in connects and voluntary disconnects.</w:t>
      </w:r>
    </w:p>
    <w:p>
      <w:pPr>
        <w:pStyle w:val="BodyText"/>
      </w:pPr>
      <w:r>
        <w:t xml:space="preserve">That 1Q result was encouraging, but it did not settle the debate. The market needs to see whether the improvement can persist without the unusual promotional and awareness benefit from “Legendary February.”</w:t>
      </w:r>
    </w:p>
    <w:bookmarkStart w:id="11" w:name="what-would-be-constructive"/>
    <w:p>
      <w:pPr>
        <w:pStyle w:val="Heading3"/>
      </w:pPr>
      <w:r>
        <w:t xml:space="preserve">What would be constructive</w:t>
      </w:r>
    </w:p>
    <w:p>
      <w:pPr>
        <w:pStyle w:val="Compact"/>
        <w:numPr>
          <w:ilvl w:val="0"/>
          <w:numId w:val="1001"/>
        </w:numPr>
      </w:pPr>
      <w:r>
        <w:t xml:space="preserve">Broadband losses meaningfully better than the</w:t>
      </w:r>
      <w:r>
        <w:t xml:space="preserve"> </w:t>
      </w:r>
      <w:r>
        <w:rPr>
          <w:b/>
          <w:bCs/>
        </w:rPr>
        <w:t xml:space="preserve">165,300</w:t>
      </w:r>
      <w:r>
        <w:t xml:space="preserve"> </w:t>
      </w:r>
      <w:r>
        <w:t xml:space="preserve">expected by the Street.</w:t>
      </w:r>
    </w:p>
    <w:p>
      <w:pPr>
        <w:pStyle w:val="Compact"/>
        <w:numPr>
          <w:ilvl w:val="0"/>
          <w:numId w:val="1001"/>
        </w:numPr>
      </w:pPr>
      <w:r>
        <w:t xml:space="preserve">Evidence that improvement is broad-based across fiber and non-fiber footprints, rather than driven by a discrete promotion or easier comparisons.</w:t>
      </w:r>
    </w:p>
    <w:p>
      <w:pPr>
        <w:pStyle w:val="Compact"/>
        <w:numPr>
          <w:ilvl w:val="0"/>
          <w:numId w:val="1001"/>
        </w:numPr>
      </w:pPr>
      <w:r>
        <w:t xml:space="preserve">Continued improvement in voluntary churn, especially as customers transition to simpler, more transparent packages.</w:t>
      </w:r>
    </w:p>
    <w:p>
      <w:pPr>
        <w:pStyle w:val="Compact"/>
        <w:numPr>
          <w:ilvl w:val="0"/>
          <w:numId w:val="1001"/>
        </w:numPr>
      </w:pPr>
      <w:r>
        <w:t xml:space="preserve">Better mix into higher-speed tiers and gateway adoption, supporting the company’s “WiFi-first” positioning.</w:t>
      </w:r>
    </w:p>
    <w:bookmarkEnd w:id="11"/>
    <w:bookmarkStart w:id="12" w:name="what-would-be-concerning"/>
    <w:p>
      <w:pPr>
        <w:pStyle w:val="Heading3"/>
      </w:pPr>
      <w:r>
        <w:t xml:space="preserve">What would be concerning</w:t>
      </w:r>
    </w:p>
    <w:p>
      <w:pPr>
        <w:pStyle w:val="Compact"/>
        <w:numPr>
          <w:ilvl w:val="0"/>
          <w:numId w:val="1002"/>
        </w:numPr>
      </w:pPr>
      <w:r>
        <w:t xml:space="preserve">Broadband losses that accelerate materially from expectations.</w:t>
      </w:r>
    </w:p>
    <w:p>
      <w:pPr>
        <w:pStyle w:val="Compact"/>
        <w:numPr>
          <w:ilvl w:val="0"/>
          <w:numId w:val="1002"/>
        </w:numPr>
      </w:pPr>
      <w:r>
        <w:t xml:space="preserve">Lower losses achieved only through deeper discounting, with a sharper-than-expected hit to broadband ARPU or residential connectivity EBITDA margin.</w:t>
      </w:r>
    </w:p>
    <w:p>
      <w:pPr>
        <w:pStyle w:val="Compact"/>
        <w:numPr>
          <w:ilvl w:val="0"/>
          <w:numId w:val="1002"/>
        </w:numPr>
      </w:pPr>
      <w:r>
        <w:t xml:space="preserve">Commentary indicating that fiber, fixed wireless, or satellite competition has intensified beyond management’s assumptions.</w:t>
      </w:r>
    </w:p>
    <w:p>
      <w:pPr>
        <w:pStyle w:val="FirstParagraph"/>
      </w:pPr>
      <w:r>
        <w:t xml:space="preserve">Comcast has clearly reset its approach: simplified national pricing, included gateway economics, a free mobile-line offer, upgraded sales incentives, and more data-driven targeting. The trade-off is deliberate near-term pressure on ARPU and profitability. The central question is now whether those investments are producing a lasting change in the trajectory of the subscriber base.</w:t>
      </w:r>
    </w:p>
    <w:bookmarkEnd w:id="12"/>
    <w:bookmarkEnd w:id="13"/>
    <w:bookmarkStart w:id="14" w:name="X6d203950c84f4f4b35b96d3648e3c2d5fcf843b"/>
    <w:p>
      <w:pPr>
        <w:pStyle w:val="Heading2"/>
      </w:pPr>
      <w:r>
        <w:t xml:space="preserve">Wireless: increasingly important to the bull case</w:t>
      </w:r>
    </w:p>
    <w:p>
      <w:pPr>
        <w:pStyle w:val="FirstParagraph"/>
      </w:pPr>
      <w:r>
        <w:t xml:space="preserve">Wireless is Comcast’s clearest operational offset to broadband weakness. In 1Q26, Comcast added a record</w:t>
      </w:r>
      <w:r>
        <w:t xml:space="preserve"> </w:t>
      </w:r>
      <w:r>
        <w:rPr>
          <w:b/>
          <w:bCs/>
        </w:rPr>
        <w:t xml:space="preserve">435,000 domestic wireless lines</w:t>
      </w:r>
      <w:r>
        <w:t xml:space="preserve">, taking the base to</w:t>
      </w:r>
      <w:r>
        <w:t xml:space="preserve"> </w:t>
      </w:r>
      <w:r>
        <w:rPr>
          <w:b/>
          <w:bCs/>
        </w:rPr>
        <w:t xml:space="preserve">9.7 million lines</w:t>
      </w:r>
      <w:r>
        <w:t xml:space="preserve">, or</w:t>
      </w:r>
      <w:r>
        <w:t xml:space="preserve"> </w:t>
      </w:r>
      <w:r>
        <w:rPr>
          <w:b/>
          <w:bCs/>
        </w:rPr>
        <w:t xml:space="preserve">16% penetration</w:t>
      </w:r>
      <w:r>
        <w:t xml:space="preserve"> </w:t>
      </w:r>
      <w:r>
        <w:t xml:space="preserve">of domestic residential broadband customers.</w:t>
      </w:r>
    </w:p>
    <w:p>
      <w:pPr>
        <w:pStyle w:val="BodyText"/>
      </w:pPr>
      <w:r>
        <w:t xml:space="preserve">Management has framed wireless as an offensive growth opportunity, not simply a defensive retention product. That matters because the company believes its WiFi-first operating model—about 90% of traffic offloaded onto WiFi—supports compelling consumer value while preserving attractive economics.</w:t>
      </w:r>
    </w:p>
    <w:p>
      <w:pPr>
        <w:pStyle w:val="BodyText"/>
      </w:pPr>
      <w:r>
        <w:t xml:space="preserve">For 2Q, investors should focus on:</w:t>
      </w:r>
    </w:p>
    <w:p>
      <w:pPr>
        <w:pStyle w:val="Compact"/>
        <w:numPr>
          <w:ilvl w:val="0"/>
          <w:numId w:val="1003"/>
        </w:numPr>
      </w:pPr>
      <w:r>
        <w:rPr>
          <w:b/>
          <w:bCs/>
        </w:rPr>
        <w:t xml:space="preserve">Net line additions:</w:t>
      </w:r>
      <w:r>
        <w:t xml:space="preserve"> </w:t>
      </w:r>
      <w:r>
        <w:t xml:space="preserve">Can Comcast sustain strong growth after the record 1Q result?</w:t>
      </w:r>
    </w:p>
    <w:p>
      <w:pPr>
        <w:pStyle w:val="Compact"/>
        <w:numPr>
          <w:ilvl w:val="0"/>
          <w:numId w:val="1003"/>
        </w:numPr>
      </w:pPr>
      <w:r>
        <w:rPr>
          <w:b/>
          <w:bCs/>
        </w:rPr>
        <w:t xml:space="preserve">Free-line conversion:</w:t>
      </w:r>
      <w:r>
        <w:t xml:space="preserve"> </w:t>
      </w:r>
      <w:r>
        <w:t xml:space="preserve">Management has said early cohorts are converting to paid plans at a significant rate. Evidence of that will matter more than gross free-line additions.</w:t>
      </w:r>
    </w:p>
    <w:p>
      <w:pPr>
        <w:pStyle w:val="Compact"/>
        <w:numPr>
          <w:ilvl w:val="0"/>
          <w:numId w:val="1003"/>
        </w:numPr>
      </w:pPr>
      <w:r>
        <w:rPr>
          <w:b/>
          <w:bCs/>
        </w:rPr>
        <w:t xml:space="preserve">Premium-plan mix and lines per account:</w:t>
      </w:r>
      <w:r>
        <w:t xml:space="preserve"> </w:t>
      </w:r>
      <w:r>
        <w:t xml:space="preserve">These are important indicators of mobile ARPU and customer stickiness.</w:t>
      </w:r>
    </w:p>
    <w:p>
      <w:pPr>
        <w:pStyle w:val="Compact"/>
        <w:numPr>
          <w:ilvl w:val="0"/>
          <w:numId w:val="1003"/>
        </w:numPr>
      </w:pPr>
      <w:r>
        <w:rPr>
          <w:b/>
          <w:bCs/>
        </w:rPr>
        <w:t xml:space="preserve">Broadband/mobile attachment:</w:t>
      </w:r>
      <w:r>
        <w:t xml:space="preserve"> </w:t>
      </w:r>
      <w:r>
        <w:t xml:space="preserve">A rising converged customer mix would support lower churn and improve the long-run revenue opportunity per household.</w:t>
      </w:r>
    </w:p>
    <w:p>
      <w:pPr>
        <w:pStyle w:val="FirstParagraph"/>
      </w:pPr>
      <w:r>
        <w:t xml:space="preserve">A strong wireless result alone will not offset weak broadband metrics in the stock’s near-term reaction. But it can bolster the argument that Comcast is building a more defensible converged connectivity model.</w:t>
      </w:r>
    </w:p>
    <w:bookmarkEnd w:id="14"/>
    <w:bookmarkStart w:id="15" w:name="Xd4aefb2460c94dd9a7561c5cd3b27de19ab8ed4"/>
    <w:p>
      <w:pPr>
        <w:pStyle w:val="Heading2"/>
      </w:pPr>
      <w:r>
        <w:t xml:space="preserve">Margins and free cash flow: execution costs are real</w:t>
      </w:r>
    </w:p>
    <w:p>
      <w:pPr>
        <w:pStyle w:val="FirstParagraph"/>
      </w:pPr>
      <w:r>
        <w:t xml:space="preserve">The 1Q26 results showed the cost of the reset. On a pro forma basis excluding Versant, Comcast’s revenue rose</w:t>
      </w:r>
      <w:r>
        <w:t xml:space="preserve"> </w:t>
      </w:r>
      <w:r>
        <w:rPr>
          <w:b/>
          <w:bCs/>
        </w:rPr>
        <w:t xml:space="preserve">10.9%</w:t>
      </w:r>
      <w:r>
        <w:t xml:space="preserve">, but adjusted EBITDA fell</w:t>
      </w:r>
      <w:r>
        <w:t xml:space="preserve"> </w:t>
      </w:r>
      <w:r>
        <w:rPr>
          <w:b/>
          <w:bCs/>
        </w:rPr>
        <w:t xml:space="preserve">8.8%</w:t>
      </w:r>
      <w:r>
        <w:t xml:space="preserve">. Connectivity &amp; Platforms revenue declined</w:t>
      </w:r>
      <w:r>
        <w:t xml:space="preserve"> </w:t>
      </w:r>
      <w:r>
        <w:rPr>
          <w:b/>
          <w:bCs/>
        </w:rPr>
        <w:t xml:space="preserve">1.0%</w:t>
      </w:r>
      <w:r>
        <w:t xml:space="preserve">, while its adjusted EBITDA fell</w:t>
      </w:r>
      <w:r>
        <w:t xml:space="preserve"> </w:t>
      </w:r>
      <w:r>
        <w:rPr>
          <w:b/>
          <w:bCs/>
        </w:rPr>
        <w:t xml:space="preserve">4.3%</w:t>
      </w:r>
      <w:r>
        <w:t xml:space="preserve">; Residential Connectivity EBITDA declined</w:t>
      </w:r>
      <w:r>
        <w:t xml:space="preserve"> </w:t>
      </w:r>
      <w:r>
        <w:rPr>
          <w:b/>
          <w:bCs/>
        </w:rPr>
        <w:t xml:space="preserve">6.0%</w:t>
      </w:r>
      <w:r>
        <w:t xml:space="preserve"> </w:t>
      </w:r>
      <w:r>
        <w:t xml:space="preserve">and margin contracted</w:t>
      </w:r>
      <w:r>
        <w:t xml:space="preserve"> </w:t>
      </w:r>
      <w:r>
        <w:rPr>
          <w:b/>
          <w:bCs/>
        </w:rPr>
        <w:t xml:space="preserve">160 basis points</w:t>
      </w:r>
      <w:r>
        <w:t xml:space="preserve"> </w:t>
      </w:r>
      <w:r>
        <w:t xml:space="preserve">to</w:t>
      </w:r>
      <w:r>
        <w:t xml:space="preserve"> </w:t>
      </w:r>
      <w:r>
        <w:rPr>
          <w:b/>
          <w:bCs/>
        </w:rPr>
        <w:t xml:space="preserve">37.1%</w:t>
      </w:r>
      <w:r>
        <w:t xml:space="preserve">.</w:t>
      </w:r>
    </w:p>
    <w:p>
      <w:pPr>
        <w:pStyle w:val="BodyText"/>
      </w:pPr>
      <w:r>
        <w:t xml:space="preserve">The pressure reflects lower broadband rates, lower customer counts, higher mobile device costs, and increased marketing and promotion. This is not unexpected—management has explicitly described 2026 as an investment year—but the company needs to establish a credible path from investment to payback.</w:t>
      </w:r>
    </w:p>
    <w:p>
      <w:pPr>
        <w:pStyle w:val="BodyText"/>
      </w:pPr>
      <w:r>
        <w:t xml:space="preserve">For 2Q, investors should watch:</w:t>
      </w:r>
    </w:p>
    <w:p>
      <w:pPr>
        <w:pStyle w:val="Compact"/>
        <w:numPr>
          <w:ilvl w:val="0"/>
          <w:numId w:val="1004"/>
        </w:numPr>
      </w:pPr>
      <w:r>
        <w:t xml:space="preserve">Residential connectivity revenue and EBITDA margin.</w:t>
      </w:r>
    </w:p>
    <w:p>
      <w:pPr>
        <w:pStyle w:val="Compact"/>
        <w:numPr>
          <w:ilvl w:val="0"/>
          <w:numId w:val="1004"/>
        </w:numPr>
      </w:pPr>
      <w:r>
        <w:t xml:space="preserve">Domestic broadband ARPU and the pace of ARPU pressure.</w:t>
      </w:r>
    </w:p>
    <w:p>
      <w:pPr>
        <w:pStyle w:val="Compact"/>
        <w:numPr>
          <w:ilvl w:val="0"/>
          <w:numId w:val="1004"/>
        </w:numPr>
      </w:pPr>
      <w:r>
        <w:t xml:space="preserve">Marketing and promotional spending.</w:t>
      </w:r>
    </w:p>
    <w:p>
      <w:pPr>
        <w:pStyle w:val="Compact"/>
        <w:numPr>
          <w:ilvl w:val="0"/>
          <w:numId w:val="1004"/>
        </w:numPr>
      </w:pPr>
      <w:r>
        <w:t xml:space="preserve">Capital intensity, particularly network upgrades and customer-premise equipment.</w:t>
      </w:r>
    </w:p>
    <w:p>
      <w:pPr>
        <w:pStyle w:val="Compact"/>
        <w:numPr>
          <w:ilvl w:val="0"/>
          <w:numId w:val="1004"/>
        </w:numPr>
      </w:pPr>
      <w:r>
        <w:t xml:space="preserve">Free cash flow and the ability to sustain dividends and repurchases while investing in the turnaround.</w:t>
      </w:r>
    </w:p>
    <w:p>
      <w:pPr>
        <w:pStyle w:val="FirstParagraph"/>
      </w:pPr>
      <w:r>
        <w:t xml:space="preserve">Comcast generated</w:t>
      </w:r>
      <w:r>
        <w:t xml:space="preserve"> </w:t>
      </w:r>
      <m:oMath>
        <m:r>
          <m:t>3.9</m:t>
        </m:r>
        <m:r>
          <m:t>b</m:t>
        </m:r>
        <m:r>
          <m:t>i</m:t>
        </m:r>
        <m:r>
          <m:t>l</m:t>
        </m:r>
        <m:r>
          <m:t>l</m:t>
        </m:r>
        <m:r>
          <m:t>i</m:t>
        </m:r>
        <m:r>
          <m:t>o</m:t>
        </m:r>
        <m:r>
          <m:t>n</m:t>
        </m:r>
        <m:r>
          <m:t>o</m:t>
        </m:r>
        <m:r>
          <m:t>f</m:t>
        </m:r>
        <m:r>
          <m:t>f</m:t>
        </m:r>
        <m:r>
          <m:t>r</m:t>
        </m:r>
        <m:r>
          <m:t>e</m:t>
        </m:r>
        <m:r>
          <m:t>e</m:t>
        </m:r>
        <m:r>
          <m:t>c</m:t>
        </m:r>
        <m:r>
          <m:t>a</m:t>
        </m:r>
        <m:r>
          <m:t>s</m:t>
        </m:r>
        <m:r>
          <m:t>h</m:t>
        </m:r>
        <m:r>
          <m:t>f</m:t>
        </m:r>
        <m:r>
          <m:t>l</m:t>
        </m:r>
        <m:r>
          <m:t>o</m:t>
        </m:r>
        <m:r>
          <m:t>w</m:t>
        </m:r>
        <m:r>
          <m:rPr>
            <m:sty m:val="p"/>
          </m:rPr>
          <m:t>*</m:t>
        </m:r>
        <m:r>
          <m:rPr>
            <m:sty m:val="p"/>
          </m:rPr>
          <m:t>*</m:t>
        </m:r>
        <m:r>
          <m:t>i</m:t>
        </m:r>
        <m:r>
          <m:t>n</m:t>
        </m:r>
        <m:r>
          <m:t>1</m:t>
        </m:r>
        <m:r>
          <m:t>Q</m:t>
        </m:r>
        <m:r>
          <m:t>26</m:t>
        </m:r>
        <m:r>
          <m:t>a</m:t>
        </m:r>
        <m:r>
          <m:t>n</m:t>
        </m:r>
        <m:r>
          <m:t>d</m:t>
        </m:r>
        <m:r>
          <m:t>r</m:t>
        </m:r>
        <m:r>
          <m:t>e</m:t>
        </m:r>
        <m:r>
          <m:t>t</m:t>
        </m:r>
        <m:r>
          <m:t>u</m:t>
        </m:r>
        <m:r>
          <m:t>r</m:t>
        </m:r>
        <m:r>
          <m:t>n</m:t>
        </m:r>
        <m:r>
          <m:t>e</m:t>
        </m:r>
        <m:r>
          <m:t>d</m:t>
        </m:r>
        <m:r>
          <m:rPr>
            <m:sty m:val="p"/>
          </m:rPr>
          <m:t>*</m:t>
        </m:r>
        <m:r>
          <m:rPr>
            <m:sty m:val="p"/>
          </m:rPr>
          <m:t>*</m:t>
        </m:r>
      </m:oMath>
      <w:r>
        <w:rPr>
          <w:b/>
          <w:bCs/>
        </w:rPr>
        <w:t xml:space="preserve">2.5 billion</w:t>
      </w:r>
      <w:r>
        <w:t xml:space="preserve"> </w:t>
      </w:r>
      <w:r>
        <w:t xml:space="preserve">to shareholders through dividends and buybacks. Maintaining solid cash generation is important both for shareholder returns and for establishing the balance-sheet flexibility needed ahead of the separation.</w:t>
      </w:r>
    </w:p>
    <w:bookmarkEnd w:id="15"/>
    <w:bookmarkStart w:id="19" w:name="X997538a4e493dffd344c579c32ddb36a080e52f"/>
    <w:p>
      <w:pPr>
        <w:pStyle w:val="Heading2"/>
      </w:pPr>
      <w:r>
        <w:t xml:space="preserve">NBCUniversal: several positives, but 2Q comparisons and timing matter</w:t>
      </w:r>
    </w:p>
    <w:p>
      <w:pPr>
        <w:pStyle w:val="FirstParagraph"/>
      </w:pPr>
      <w:r>
        <w:t xml:space="preserve">The media and entertainment portfolio is increasingly an asset rather than a distraction, particularly after the announced separation. Still, 2Q results will have several moving pieces.</w:t>
      </w:r>
    </w:p>
    <w:bookmarkStart w:id="16" w:name="Xf20da2129480b054ca9e94f1f229442eb669fe6"/>
    <w:p>
      <w:pPr>
        <w:pStyle w:val="Heading3"/>
      </w:pPr>
      <w:r>
        <w:t xml:space="preserve">Peacock: profitability is the key milestone</w:t>
      </w:r>
    </w:p>
    <w:p>
      <w:pPr>
        <w:pStyle w:val="FirstParagraph"/>
      </w:pPr>
      <w:r>
        <w:t xml:space="preserve">At an investor conference in June, NBCUniversal Media Chairman Matt Strauss said</w:t>
      </w:r>
      <w:r>
        <w:t xml:space="preserve"> </w:t>
      </w:r>
      <w:r>
        <w:rPr>
          <w:b/>
          <w:bCs/>
        </w:rPr>
        <w:t xml:space="preserve">Peacock was expected to be profitable in 2Q26</w:t>
      </w:r>
      <w:r>
        <w:t xml:space="preserve">. If delivered, that would be a major proof point for a platform that had been a substantial drag on segment profitability.</w:t>
      </w:r>
    </w:p>
    <w:p>
      <w:pPr>
        <w:pStyle w:val="BodyText"/>
      </w:pPr>
      <w:r>
        <w:t xml:space="preserve">In 1Q26, Peacock had:</w:t>
      </w:r>
    </w:p>
    <w:p>
      <w:pPr>
        <w:pStyle w:val="Compact"/>
        <w:numPr>
          <w:ilvl w:val="0"/>
          <w:numId w:val="1005"/>
        </w:numPr>
      </w:pPr>
      <w:r>
        <w:rPr>
          <w:b/>
          <w:bCs/>
        </w:rPr>
        <w:t xml:space="preserve">46 million paid subscribers</w:t>
      </w:r>
      <w:r>
        <w:t xml:space="preserve">, up 12% year over year;</w:t>
      </w:r>
    </w:p>
    <w:p>
      <w:pPr>
        <w:pStyle w:val="Compact"/>
        <w:numPr>
          <w:ilvl w:val="0"/>
          <w:numId w:val="1005"/>
        </w:numPr>
      </w:pPr>
      <w:r>
        <w:t xml:space="preserve">Revenue growth of</w:t>
      </w:r>
      <w:r>
        <w:t xml:space="preserve"> </w:t>
      </w:r>
      <w:r>
        <w:rPr>
          <w:b/>
          <w:bCs/>
        </w:rPr>
        <w:t xml:space="preserve">71%</w:t>
      </w:r>
      <w:r>
        <w:t xml:space="preserve">, surpassing $2 billion for the first time;</w:t>
      </w:r>
    </w:p>
    <w:p>
      <w:pPr>
        <w:pStyle w:val="Compact"/>
        <w:numPr>
          <w:ilvl w:val="0"/>
          <w:numId w:val="1005"/>
        </w:numPr>
      </w:pPr>
      <w:r>
        <w:t xml:space="preserve">An adjusted EBITDA loss of</w:t>
      </w:r>
      <w:r>
        <w:t xml:space="preserve"> </w:t>
      </w:r>
      <w:r>
        <w:rPr>
          <w:b/>
          <w:bCs/>
        </w:rPr>
        <w:t xml:space="preserve">$432 million</w:t>
      </w:r>
      <w:r>
        <w:t xml:space="preserve">, including the impact of the Olympics and Super Bowl.</w:t>
      </w:r>
    </w:p>
    <w:p>
      <w:pPr>
        <w:pStyle w:val="FirstParagraph"/>
      </w:pPr>
      <w:r>
        <w:t xml:space="preserve">The loss was elevated by extraordinary sports programming costs, so 2Q profitability would demonstrate that Peacock’s ad-led, sports-supported model can scale economically beyond event-heavy quarters. Investors should assess profitability quality—not just the result—including advertising trends, pricing, subscriber mix, bundling economics, churn, and the cadence of future sports-rights costs.</w:t>
      </w:r>
    </w:p>
    <w:bookmarkEnd w:id="16"/>
    <w:bookmarkStart w:id="17" w:name="Xbe63ebadad00a25d68e179d1a493cea7d28e7e9"/>
    <w:p>
      <w:pPr>
        <w:pStyle w:val="Heading3"/>
      </w:pPr>
      <w:r>
        <w:t xml:space="preserve">Theme parks: Epic Universe momentum versus softer demand commentary</w:t>
      </w:r>
    </w:p>
    <w:p>
      <w:pPr>
        <w:pStyle w:val="FirstParagraph"/>
      </w:pPr>
      <w:r>
        <w:t xml:space="preserve">Theme Parks were a major 1Q bright spot: revenue rose</w:t>
      </w:r>
      <w:r>
        <w:t xml:space="preserve"> </w:t>
      </w:r>
      <w:r>
        <w:rPr>
          <w:b/>
          <w:bCs/>
        </w:rPr>
        <w:t xml:space="preserve">24.2%</w:t>
      </w:r>
      <w:r>
        <w:t xml:space="preserve"> </w:t>
      </w:r>
      <w:r>
        <w:t xml:space="preserve">and adjusted EBITDA increased</w:t>
      </w:r>
      <w:r>
        <w:t xml:space="preserve"> </w:t>
      </w:r>
      <w:r>
        <w:rPr>
          <w:b/>
          <w:bCs/>
        </w:rPr>
        <w:t xml:space="preserve">33.3%</w:t>
      </w:r>
      <w:r>
        <w:t xml:space="preserve">, led by Orlando and the May 2025 opening of Epic Universe.</w:t>
      </w:r>
    </w:p>
    <w:p>
      <w:pPr>
        <w:pStyle w:val="BodyText"/>
      </w:pPr>
      <w:r>
        <w:t xml:space="preserve">However, management noted in early June that it was monitoring some softness in international demand and seeing some softness domestically as well. The 2Q report should provide a more current read on attendance, per-capita spending, and whether Epic Universe continues to drive a sustained Orlando benefit.</w:t>
      </w:r>
    </w:p>
    <w:bookmarkEnd w:id="17"/>
    <w:bookmarkStart w:id="18" w:name="Xfeba1580c5c613b04eec72c9e4c5a7df468319b"/>
    <w:p>
      <w:pPr>
        <w:pStyle w:val="Heading3"/>
      </w:pPr>
      <w:r>
        <w:t xml:space="preserve">Studios and media: do not over-credit “The Odyssey” to 2Q</w:t>
      </w:r>
    </w:p>
    <w:p>
      <w:pPr>
        <w:pStyle w:val="FirstParagraph"/>
      </w:pPr>
      <w:r>
        <w:t xml:space="preserve">Universal’s</w:t>
      </w:r>
      <w:r>
        <w:t xml:space="preserve"> </w:t>
      </w:r>
      <w:r>
        <w:rPr>
          <w:i/>
          <w:iCs/>
        </w:rPr>
        <w:t xml:space="preserve">The Odyssey</w:t>
      </w:r>
      <w:r>
        <w:t xml:space="preserve"> </w:t>
      </w:r>
      <w:r>
        <w:t xml:space="preserve">has become a prominent summer talking point, but because of its July release timing, its box-office contribution should be more relevant to</w:t>
      </w:r>
      <w:r>
        <w:t xml:space="preserve"> </w:t>
      </w:r>
      <w:r>
        <w:rPr>
          <w:b/>
          <w:bCs/>
        </w:rPr>
        <w:t xml:space="preserve">3Q26</w:t>
      </w:r>
      <w:r>
        <w:t xml:space="preserve"> </w:t>
      </w:r>
      <w:r>
        <w:t xml:space="preserve">than to the quarter ended June 30. Investors should avoid extrapolating recent theatrical headlines into 2Q reported numbers.</w:t>
      </w:r>
    </w:p>
    <w:p>
      <w:pPr>
        <w:pStyle w:val="BodyText"/>
      </w:pPr>
      <w:r>
        <w:t xml:space="preserve">For 2Q media, the more relevant considerations are:</w:t>
      </w:r>
    </w:p>
    <w:p>
      <w:pPr>
        <w:pStyle w:val="Compact"/>
        <w:numPr>
          <w:ilvl w:val="0"/>
          <w:numId w:val="1006"/>
        </w:numPr>
      </w:pPr>
      <w:r>
        <w:t xml:space="preserve">Peacock advertising and distribution growth;</w:t>
      </w:r>
    </w:p>
    <w:p>
      <w:pPr>
        <w:pStyle w:val="Compact"/>
        <w:numPr>
          <w:ilvl w:val="0"/>
          <w:numId w:val="1006"/>
        </w:numPr>
      </w:pPr>
      <w:r>
        <w:t xml:space="preserve">the transition from the Olympics/Super Bowl-heavy 1Q comparison;</w:t>
      </w:r>
    </w:p>
    <w:p>
      <w:pPr>
        <w:pStyle w:val="Compact"/>
        <w:numPr>
          <w:ilvl w:val="0"/>
          <w:numId w:val="1006"/>
        </w:numPr>
      </w:pPr>
      <w:r>
        <w:t xml:space="preserve">the impact of NBA rights and other programming costs;</w:t>
      </w:r>
    </w:p>
    <w:p>
      <w:pPr>
        <w:pStyle w:val="Compact"/>
        <w:numPr>
          <w:ilvl w:val="0"/>
          <w:numId w:val="1006"/>
        </w:numPr>
      </w:pPr>
      <w:r>
        <w:t xml:space="preserve">advertising-market resilience; and</w:t>
      </w:r>
    </w:p>
    <w:p>
      <w:pPr>
        <w:pStyle w:val="Compact"/>
        <w:numPr>
          <w:ilvl w:val="0"/>
          <w:numId w:val="1006"/>
        </w:numPr>
      </w:pPr>
      <w:r>
        <w:t xml:space="preserve">the sustainability of content licensing and studio profitability.</w:t>
      </w:r>
    </w:p>
    <w:bookmarkEnd w:id="18"/>
    <w:bookmarkEnd w:id="19"/>
    <w:bookmarkStart w:id="20" w:name="Xc17e724334acebfbc78ec3c8f762eb75a4d7e79"/>
    <w:p>
      <w:pPr>
        <w:pStyle w:val="Heading2"/>
      </w:pPr>
      <w:r>
        <w:t xml:space="preserve">The separation announcement changes the valuation debate</w:t>
      </w:r>
    </w:p>
    <w:p>
      <w:pPr>
        <w:pStyle w:val="FirstParagraph"/>
      </w:pPr>
      <w:r>
        <w:t xml:space="preserve">On June 29, Comcast announced plans to separate into two independent public companies:</w:t>
      </w:r>
    </w:p>
    <w:p>
      <w:pPr>
        <w:pStyle w:val="Compact"/>
        <w:numPr>
          <w:ilvl w:val="0"/>
          <w:numId w:val="1007"/>
        </w:numPr>
      </w:pPr>
      <w:r>
        <w:rPr>
          <w:b/>
          <w:bCs/>
        </w:rPr>
        <w:t xml:space="preserve">Comcast:</w:t>
      </w:r>
      <w:r>
        <w:t xml:space="preserve"> </w:t>
      </w:r>
      <w:r>
        <w:t xml:space="preserve">broadband, wireless, business services, and technology platforms.</w:t>
      </w:r>
    </w:p>
    <w:p>
      <w:pPr>
        <w:pStyle w:val="Compact"/>
        <w:numPr>
          <w:ilvl w:val="0"/>
          <w:numId w:val="1007"/>
        </w:numPr>
      </w:pPr>
      <w:r>
        <w:rPr>
          <w:b/>
          <w:bCs/>
        </w:rPr>
        <w:t xml:space="preserve">NBCUniversal:</w:t>
      </w:r>
      <w:r>
        <w:t xml:space="preserve"> </w:t>
      </w:r>
      <w:r>
        <w:t xml:space="preserve">NBCUniversal and Sky, including theme parks, studios, Peacock, broadcast networks, sports, and entertainment assets.</w:t>
      </w:r>
    </w:p>
    <w:p>
      <w:pPr>
        <w:pStyle w:val="FirstParagraph"/>
      </w:pPr>
      <w:r>
        <w:t xml:space="preserve">The intended transaction is a tax-free spin expected in roughly one year, subject to customary conditions. Comcast expects to retain up to a</w:t>
      </w:r>
      <w:r>
        <w:t xml:space="preserve"> </w:t>
      </w:r>
      <w:r>
        <w:rPr>
          <w:b/>
          <w:bCs/>
        </w:rPr>
        <w:t xml:space="preserve">19.9% stake</w:t>
      </w:r>
      <w:r>
        <w:t xml:space="preserve"> </w:t>
      </w:r>
      <w:r>
        <w:t xml:space="preserve">in NBCUniversal for up to one year after the spin, with the intent to monetize it tax-efficiently over time. Each company is intended to have an investment-grade balance sheet.</w:t>
      </w:r>
    </w:p>
    <w:p>
      <w:pPr>
        <w:pStyle w:val="BodyText"/>
      </w:pPr>
      <w:r>
        <w:t xml:space="preserve">The separation creates an additional set of questions for the call:</w:t>
      </w:r>
    </w:p>
    <w:p>
      <w:pPr>
        <w:pStyle w:val="Compact"/>
        <w:numPr>
          <w:ilvl w:val="0"/>
          <w:numId w:val="1008"/>
        </w:numPr>
      </w:pPr>
      <w:r>
        <w:t xml:space="preserve">What are the expected one-time separation costs and ongoing dis-synergies?</w:t>
      </w:r>
    </w:p>
    <w:p>
      <w:pPr>
        <w:pStyle w:val="Compact"/>
        <w:numPr>
          <w:ilvl w:val="0"/>
          <w:numId w:val="1008"/>
        </w:numPr>
      </w:pPr>
      <w:r>
        <w:t xml:space="preserve">How will debt, dividends, and share repurchases be allocated between the two entities?</w:t>
      </w:r>
    </w:p>
    <w:p>
      <w:pPr>
        <w:pStyle w:val="Compact"/>
        <w:numPr>
          <w:ilvl w:val="0"/>
          <w:numId w:val="1008"/>
        </w:numPr>
      </w:pPr>
      <w:r>
        <w:t xml:space="preserve">What services, commercial agreements, data-sharing arrangements, and distribution relationships will survive the separation?</w:t>
      </w:r>
    </w:p>
    <w:p>
      <w:pPr>
        <w:pStyle w:val="Compact"/>
        <w:numPr>
          <w:ilvl w:val="0"/>
          <w:numId w:val="1008"/>
        </w:numPr>
      </w:pPr>
      <w:r>
        <w:t xml:space="preserve">Will management quantify the standalone earnings and free-cash-flow profiles more fully?</w:t>
      </w:r>
    </w:p>
    <w:p>
      <w:pPr>
        <w:pStyle w:val="Compact"/>
        <w:numPr>
          <w:ilvl w:val="0"/>
          <w:numId w:val="1008"/>
        </w:numPr>
      </w:pPr>
      <w:r>
        <w:t xml:space="preserve">Does the proposed structure create more strategic optionality for either business?</w:t>
      </w:r>
    </w:p>
    <w:p>
      <w:pPr>
        <w:pStyle w:val="FirstParagraph"/>
      </w:pPr>
      <w:r>
        <w:t xml:space="preserve">The spin is strategically sensible because it separates a challenged but cash-generative connectivity business from a media portfolio with distinct growth drivers and asset value. But it does</w:t>
      </w:r>
      <w:r>
        <w:t xml:space="preserve"> </w:t>
      </w:r>
      <w:r>
        <w:rPr>
          <w:b/>
          <w:bCs/>
        </w:rPr>
        <w:t xml:space="preserve">not</w:t>
      </w:r>
      <w:r>
        <w:t xml:space="preserve"> </w:t>
      </w:r>
      <w:r>
        <w:t xml:space="preserve">eliminate Comcast’s underlying broadband execution risk. The market is likely to reward additional disclosure and a clear financial framework, rather than the headline alone.</w:t>
      </w:r>
    </w:p>
    <w:bookmarkEnd w:id="20"/>
    <w:bookmarkStart w:id="24" w:name="potential-stock-reaction-framework"/>
    <w:p>
      <w:pPr>
        <w:pStyle w:val="Heading2"/>
      </w:pPr>
      <w:r>
        <w:t xml:space="preserve">Potential stock-reaction framework</w:t>
      </w:r>
    </w:p>
    <w:bookmarkStart w:id="21" w:name="bull-case"/>
    <w:p>
      <w:pPr>
        <w:pStyle w:val="Heading3"/>
      </w:pPr>
      <w:r>
        <w:t xml:space="preserve">Bull case</w:t>
      </w:r>
    </w:p>
    <w:p>
      <w:pPr>
        <w:pStyle w:val="FirstParagraph"/>
      </w:pPr>
      <w:r>
        <w:t xml:space="preserve">A favorable reaction would likely require:</w:t>
      </w:r>
    </w:p>
    <w:p>
      <w:pPr>
        <w:pStyle w:val="Compact"/>
        <w:numPr>
          <w:ilvl w:val="0"/>
          <w:numId w:val="1009"/>
        </w:numPr>
      </w:pPr>
      <w:r>
        <w:t xml:space="preserve">Broadband losses well below the</w:t>
      </w:r>
      <w:r>
        <w:t xml:space="preserve"> </w:t>
      </w:r>
      <w:r>
        <w:rPr>
          <w:b/>
          <w:bCs/>
        </w:rPr>
        <w:t xml:space="preserve">165,300</w:t>
      </w:r>
      <w:r>
        <w:t xml:space="preserve"> </w:t>
      </w:r>
      <w:r>
        <w:t xml:space="preserve">consensus expectation;</w:t>
      </w:r>
    </w:p>
    <w:p>
      <w:pPr>
        <w:pStyle w:val="Compact"/>
        <w:numPr>
          <w:ilvl w:val="0"/>
          <w:numId w:val="1009"/>
        </w:numPr>
      </w:pPr>
      <w:r>
        <w:t xml:space="preserve">healthy wireless additions and evidence of free-line conversion;</w:t>
      </w:r>
    </w:p>
    <w:p>
      <w:pPr>
        <w:pStyle w:val="Compact"/>
        <w:numPr>
          <w:ilvl w:val="0"/>
          <w:numId w:val="1009"/>
        </w:numPr>
      </w:pPr>
      <w:r>
        <w:t xml:space="preserve">stabilization in residential connectivity margins or a convincing explanation of temporary investment pressure;</w:t>
      </w:r>
    </w:p>
    <w:p>
      <w:pPr>
        <w:pStyle w:val="Compact"/>
        <w:numPr>
          <w:ilvl w:val="0"/>
          <w:numId w:val="1009"/>
        </w:numPr>
      </w:pPr>
      <w:r>
        <w:t xml:space="preserve">Peacock profitability consistent with management’s June commentary;</w:t>
      </w:r>
    </w:p>
    <w:p>
      <w:pPr>
        <w:pStyle w:val="Compact"/>
        <w:numPr>
          <w:ilvl w:val="0"/>
          <w:numId w:val="1009"/>
        </w:numPr>
      </w:pPr>
      <w:r>
        <w:t xml:space="preserve">durable Theme Parks strength; and</w:t>
      </w:r>
    </w:p>
    <w:p>
      <w:pPr>
        <w:pStyle w:val="Compact"/>
        <w:numPr>
          <w:ilvl w:val="0"/>
          <w:numId w:val="1009"/>
        </w:numPr>
      </w:pPr>
      <w:r>
        <w:t xml:space="preserve">greater clarity on the NBCUniversal/Sky separation economics.</w:t>
      </w:r>
    </w:p>
    <w:bookmarkEnd w:id="21"/>
    <w:bookmarkStart w:id="22" w:name="base-case"/>
    <w:p>
      <w:pPr>
        <w:pStyle w:val="Heading3"/>
      </w:pPr>
      <w:r>
        <w:t xml:space="preserve">Base case</w:t>
      </w:r>
    </w:p>
    <w:p>
      <w:pPr>
        <w:pStyle w:val="FirstParagraph"/>
      </w:pPr>
      <w:r>
        <w:t xml:space="preserve">A mixed outcome is plausible:</w:t>
      </w:r>
    </w:p>
    <w:p>
      <w:pPr>
        <w:pStyle w:val="Compact"/>
        <w:numPr>
          <w:ilvl w:val="0"/>
          <w:numId w:val="1010"/>
        </w:numPr>
      </w:pPr>
      <w:r>
        <w:t xml:space="preserve">Broadband losses roughly in line with consensus;</w:t>
      </w:r>
    </w:p>
    <w:p>
      <w:pPr>
        <w:pStyle w:val="Compact"/>
        <w:numPr>
          <w:ilvl w:val="0"/>
          <w:numId w:val="1010"/>
        </w:numPr>
      </w:pPr>
      <w:r>
        <w:t xml:space="preserve">strong wireless and media results;</w:t>
      </w:r>
    </w:p>
    <w:p>
      <w:pPr>
        <w:pStyle w:val="Compact"/>
        <w:numPr>
          <w:ilvl w:val="0"/>
          <w:numId w:val="1010"/>
        </w:numPr>
      </w:pPr>
      <w:r>
        <w:t xml:space="preserve">continued connectivity margin pressure;</w:t>
      </w:r>
    </w:p>
    <w:p>
      <w:pPr>
        <w:pStyle w:val="Compact"/>
        <w:numPr>
          <w:ilvl w:val="0"/>
          <w:numId w:val="1010"/>
        </w:numPr>
      </w:pPr>
      <w:r>
        <w:t xml:space="preserve">limited new separation details.</w:t>
      </w:r>
    </w:p>
    <w:p>
      <w:pPr>
        <w:pStyle w:val="FirstParagraph"/>
      </w:pPr>
      <w:r>
        <w:t xml:space="preserve">In this case, the shares may trade on management’s outlook for the second half and whether investors view 2Q as the trough for broadband metrics.</w:t>
      </w:r>
    </w:p>
    <w:bookmarkEnd w:id="22"/>
    <w:bookmarkStart w:id="23" w:name="bear-case"/>
    <w:p>
      <w:pPr>
        <w:pStyle w:val="Heading3"/>
      </w:pPr>
      <w:r>
        <w:t xml:space="preserve">Bear case</w:t>
      </w:r>
    </w:p>
    <w:p>
      <w:pPr>
        <w:pStyle w:val="FirstParagraph"/>
      </w:pPr>
      <w:r>
        <w:t xml:space="preserve">The main downside risk is a weak broadband print—particularly losses materially worse than consensus—combined with pressure on ARPU, margins, or free cash flow. That would challenge the argument that Comcast’s pricing and convergence investments are working, and it could overshadow positive Peacock, studio, theme-park, or separation news.</w:t>
      </w:r>
    </w:p>
    <w:bookmarkEnd w:id="23"/>
    <w:bookmarkEnd w:id="24"/>
    <w:bookmarkStart w:id="26" w:name="bottom-line"/>
    <w:p>
      <w:pPr>
        <w:pStyle w:val="Heading2"/>
      </w:pPr>
      <w:r>
        <w:t xml:space="preserve">Bottom line</w:t>
      </w:r>
    </w:p>
    <w:p>
      <w:pPr>
        <w:pStyle w:val="FirstParagraph"/>
      </w:pPr>
      <w:r>
        <w:t xml:space="preserve">CMCSA is no longer only a broadband-turnaround story: the planned NBCUniversal/Sky separation gives investors a potentially meaningful re-rating catalyst. But the near-term earnings reaction will still hinge on a simple operational test:</w:t>
      </w:r>
      <w:r>
        <w:t xml:space="preserve"> </w:t>
      </w:r>
      <w:r>
        <w:rPr>
          <w:b/>
          <w:bCs/>
        </w:rPr>
        <w:t xml:space="preserve">are domestic broadband losses improving fast enough to validate the company’s new commercial strategy without causing unacceptable erosion in connectivity profitability?</w:t>
      </w:r>
    </w:p>
    <w:p>
      <w:pPr>
        <w:pStyle w:val="BodyText"/>
      </w:pPr>
      <w:r>
        <w:t xml:space="preserve">A modest consensus bar creates room for upside. Still, a genuine positive inflection requires more than an EPS beat—it requires better broadband losses, durable wireless monetization, controlled margins, and confidence that the connectivity business can emerge from its 2026 investment cycle with a stronger competitive position.</w:t>
      </w:r>
    </w:p>
    <w:p>
      <w:r>
        <w:pict>
          <v:rect style="width:0;height:1.5pt" o:hralign="center" o:hrstd="t" o:hr="t"/>
        </w:pict>
      </w:r>
    </w:p>
    <w:bookmarkStart w:id="25" w:name="research-basis"/>
    <w:p>
      <w:pPr>
        <w:pStyle w:val="Heading3"/>
      </w:pPr>
      <w:r>
        <w:t xml:space="preserve">Research basis</w:t>
      </w:r>
    </w:p>
    <w:p>
      <w:pPr>
        <w:pStyle w:val="Compact"/>
        <w:numPr>
          <w:ilvl w:val="0"/>
          <w:numId w:val="1011"/>
        </w:numPr>
      </w:pPr>
      <w:r>
        <w:t xml:space="preserve">Comcast 1Q26 earnings release and associated 8-K, April 23, 2026.</w:t>
      </w:r>
    </w:p>
    <w:p>
      <w:pPr>
        <w:pStyle w:val="Compact"/>
        <w:numPr>
          <w:ilvl w:val="0"/>
          <w:numId w:val="1011"/>
        </w:numPr>
      </w:pPr>
      <w:r>
        <w:t xml:space="preserve">Comcast presentation at the MoffettNathanson Media, Internet &amp; Communications Conference, May 14, 2026.</w:t>
      </w:r>
    </w:p>
    <w:p>
      <w:pPr>
        <w:pStyle w:val="Compact"/>
        <w:numPr>
          <w:ilvl w:val="0"/>
          <w:numId w:val="1011"/>
        </w:numPr>
      </w:pPr>
      <w:r>
        <w:t xml:space="preserve">Comcast presentation at the Evercore TMT Global Conference, June 2, 2026.</w:t>
      </w:r>
    </w:p>
    <w:p>
      <w:pPr>
        <w:pStyle w:val="Compact"/>
        <w:numPr>
          <w:ilvl w:val="0"/>
          <w:numId w:val="1011"/>
        </w:numPr>
      </w:pPr>
      <w:r>
        <w:t xml:space="preserve">Comcast announcement of proposed NBCUniversal and Sky separation, June 29, 2026.</w:t>
      </w:r>
    </w:p>
    <w:p>
      <w:pPr>
        <w:pStyle w:val="Compact"/>
        <w:numPr>
          <w:ilvl w:val="0"/>
          <w:numId w:val="1011"/>
        </w:numPr>
      </w:pPr>
      <w:r>
        <w:t xml:space="preserve">July 22, 2026 financial press reporting for FactSet consensus estimates.</w:t>
      </w:r>
    </w:p>
    <w:bookmarkEnd w:id="25"/>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2026-07-23T00:22:51Z</dcterms:created>
  <dcterms:modified xsi:type="dcterms:W3CDTF">2026-07-23T00:22:51Z</dcterms:modified>
</cp:coreProperties>
</file>

<file path=docProps/custom.xml><?xml version="1.0" encoding="utf-8"?>
<Properties xmlns="http://schemas.openxmlformats.org/officeDocument/2006/custom-properties" xmlns:vt="http://schemas.openxmlformats.org/officeDocument/2006/docPropsVTypes"/>
</file>