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Comcast Corporation (CMCSA)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Comcast Corporation</w:t>
            </w:r>
          </w:p>
        </w:tc>
      </w:tr>
      <w:tr>
        <w:tc>
          <w:tcPr>
            <w:tcW w:type="dxa" w:w="4320"/>
          </w:tcPr>
          <w:p>
            <w:r>
              <w:rPr>
                <w:rFonts w:ascii="Calibri" w:hAnsi="Calibri"/>
                <w:b/>
                <w:sz w:val="22"/>
              </w:rPr>
              <w:t>Ticker</w:t>
            </w:r>
          </w:p>
        </w:tc>
        <w:tc>
          <w:tcPr>
            <w:tcW w:type="dxa" w:w="4320"/>
          </w:tcPr>
          <w:p>
            <w:r>
              <w:rPr>
                <w:rFonts w:ascii="Calibri" w:hAnsi="Calibri"/>
                <w:sz w:val="22"/>
              </w:rPr>
              <w:t>CMCSA (Nasdaq)</w:t>
            </w:r>
          </w:p>
        </w:tc>
      </w:tr>
      <w:tr>
        <w:tc>
          <w:tcPr>
            <w:tcW w:type="dxa" w:w="4320"/>
          </w:tcPr>
          <w:p>
            <w:r>
              <w:rPr>
                <w:rFonts w:ascii="Calibri" w:hAnsi="Calibri"/>
                <w:b/>
                <w:sz w:val="22"/>
              </w:rPr>
              <w:t>Reporting Period</w:t>
            </w:r>
          </w:p>
        </w:tc>
        <w:tc>
          <w:tcPr>
            <w:tcW w:type="dxa" w:w="4320"/>
          </w:tcPr>
          <w:p>
            <w:r>
              <w:rPr>
                <w:rFonts w:ascii="Calibri" w:hAnsi="Calibri"/>
                <w:sz w:val="22"/>
              </w:rPr>
              <w:t>Q2 2026 (2QFY-2026,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XLC — Communication Services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bar is manageable — consensus is set for broadband losses of ~165K (vs. ~65K actual in Q1) and operating EPS of ~$0.96 — but the quarter is now almost entirely a sideshow to the </w:t>
      </w:r>
      <w:r>
        <w:rPr>
          <w:rFonts w:ascii="Calibri" w:hAnsi="Calibri"/>
          <w:b/>
          <w:color w:val="525866"/>
          <w:sz w:val="22"/>
        </w:rPr>
        <w:t>NBCU spin-off announced June 29</w:t>
      </w:r>
      <w:r>
        <w:rPr>
          <w:rFonts w:ascii="Calibri" w:hAnsi="Calibri"/>
          <w:color w:val="525866"/>
          <w:sz w:val="22"/>
        </w:rPr>
        <w:t>; the single biggest swing factor is whether management provides a credible financial framework for the two standalone entities and signals a path to re-rating the RemainCo cable business.</w:t>
      </w:r>
    </w:p>
    <w:p>
      <w:r>
        <w:rPr>
          <w:rFonts w:ascii="Calibri" w:hAnsi="Calibri"/>
          <w:color w:val="525866"/>
          <w:sz w:val="22"/>
        </w:rPr>
        <w:t xml:space="preserve">Heading into Q2 2026, the consensus bar for Comcast looks achievable on the core connectivity metrics: broadband net losses of ~165K are expected versus the ~65K actual in Q1 (which benefited from the Legendary February marketing push), and the street is modeling operating EPS of ~$0.96 — a step down from Q1's $0.79 actual but consistent with the company's own guidance for incremental ARPU pressure in Q2 before a second-half recovery. The most important development since Q1 earnings is the </w:t>
      </w:r>
      <w:r>
        <w:rPr>
          <w:rFonts w:ascii="Calibri" w:hAnsi="Calibri"/>
          <w:b/>
          <w:color w:val="525866"/>
          <w:sz w:val="22"/>
        </w:rPr>
        <w:t>June 29 announcement of a tax-free spin-off of NBCUniversal and Sky</w:t>
      </w:r>
      <w:r>
        <w:rPr>
          <w:rFonts w:ascii="Calibri" w:hAnsi="Calibri"/>
          <w:color w:val="525866"/>
          <w:sz w:val="22"/>
        </w:rPr>
        <w:t xml:space="preserve"> into a separate public company, with Comcast RemainCo focused purely on broadband, wireless, and business services — a structural catalyst that management framed as unlocking entrepreneurial focus and shareholder value for each entity. Estimate revisions have been broadly stable since the Q1 print (FY2026 operating EPS consensus moved from ~$3.54 to ~$3.47, a modest ~2% decline), suggesting the street is in a holding pattern pending spin-off details rather than making directional calls on the underlying business. The stock has been a significant underperformer since Q1 earnings, down ~26% versus the S&amp;P 500 up ~6% and XLC down ~7%, reflecting both the structural overhang of the spin-off uncertainty and continued investor skepticism about the cable business — meaning the stock is not pricing in a beat, and any positive surprise on broadband trends or spin-off economics could provide a meaningful catalyst. The key wildcard is </w:t>
      </w:r>
      <w:r>
        <w:rPr>
          <w:rFonts w:ascii="Calibri" w:hAnsi="Calibri"/>
          <w:b/>
          <w:color w:val="525866"/>
          <w:sz w:val="22"/>
        </w:rPr>
        <w:t>Peacock profitability</w:t>
      </w:r>
      <w:r>
        <w:rPr>
          <w:rFonts w:ascii="Calibri" w:hAnsi="Calibri"/>
          <w:color w:val="525866"/>
          <w:sz w:val="22"/>
        </w:rPr>
        <w:t>: management confirmed at the June Evercore conference that Peacock will be profitable in Q2 — the first time in the platform's history — and the magnitude of that profit, combined with any update on the spin-off financial structure, could be the decisive factor in whether the stock re-rates on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broadband (losses of ~165K vs. Q1's ~65K actual), while </w:t>
      </w:r>
      <w:r>
        <w:rPr>
          <w:rFonts w:ascii="Calibri" w:hAnsi="Calibri"/>
          <w:b/>
          <w:color w:val="525866"/>
          <w:sz w:val="22"/>
        </w:rPr>
        <w:t>Peacock's first-ever profitable quarter</w:t>
      </w:r>
      <w:r>
        <w:rPr>
          <w:rFonts w:ascii="Calibri" w:hAnsi="Calibri"/>
          <w:color w:val="525866"/>
          <w:sz w:val="22"/>
        </w:rPr>
        <w:t xml:space="preserve"> is the bigger swing factor — management confirmed profitability at the June Evercore conference, and the magnitude of that profit vs. the ~$27M consensus estimate will drive the narrative.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$31.46B</w:t>
            </w:r>
          </w:p>
        </w:tc>
        <w:tc>
          <w:tcPr>
            <w:tcW w:type="dxa" w:w="1234"/>
          </w:tcPr>
          <w:p>
            <w:r>
              <w:rPr>
                <w:rFonts w:ascii="Calibri" w:hAnsi="Calibri"/>
                <w:sz w:val="22"/>
              </w:rPr>
              <w:t>$28.79B</w:t>
            </w:r>
          </w:p>
        </w:tc>
        <w:tc>
          <w:tcPr>
            <w:tcW w:type="dxa" w:w="1234"/>
          </w:tcPr>
          <w:p>
            <w:r>
              <w:rPr>
                <w:rFonts w:ascii="Calibri" w:hAnsi="Calibri"/>
                <w:sz w:val="22"/>
              </w:rPr>
              <w:t>$29.27B</w:t>
            </w:r>
          </w:p>
        </w:tc>
        <w:tc>
          <w:tcPr>
            <w:tcW w:type="dxa" w:w="1234"/>
          </w:tcPr>
          <w:p>
            <w:r>
              <w:rPr>
                <w:rFonts w:ascii="Calibri" w:hAnsi="Calibri"/>
                <w:sz w:val="22"/>
              </w:rPr>
              <w:t>+1.7%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Adjusted EBITDA ($B)</w:t>
            </w:r>
          </w:p>
        </w:tc>
        <w:tc>
          <w:tcPr>
            <w:tcW w:type="dxa" w:w="1234"/>
          </w:tcPr>
          <w:p>
            <w:r>
              <w:rPr>
                <w:rFonts w:ascii="Calibri" w:hAnsi="Calibri"/>
                <w:sz w:val="22"/>
              </w:rPr>
              <w:t>$7.93B</w:t>
            </w:r>
          </w:p>
        </w:tc>
        <w:tc>
          <w:tcPr>
            <w:tcW w:type="dxa" w:w="1234"/>
          </w:tcPr>
          <w:p>
            <w:r>
              <w:rPr>
                <w:rFonts w:ascii="Calibri" w:hAnsi="Calibri"/>
                <w:sz w:val="22"/>
              </w:rPr>
              <w:t>$9.49B</w:t>
            </w:r>
          </w:p>
        </w:tc>
        <w:tc>
          <w:tcPr>
            <w:tcW w:type="dxa" w:w="1234"/>
          </w:tcPr>
          <w:p>
            <w:r>
              <w:rPr>
                <w:rFonts w:ascii="Calibri" w:hAnsi="Calibri"/>
                <w:sz w:val="22"/>
              </w:rPr>
              <w:t>$8.86B</w:t>
            </w:r>
          </w:p>
        </w:tc>
        <w:tc>
          <w:tcPr>
            <w:tcW w:type="dxa" w:w="1234"/>
          </w:tcPr>
          <w:p>
            <w:r>
              <w:rPr>
                <w:rFonts w:ascii="Calibri" w:hAnsi="Calibri"/>
                <w:sz w:val="22"/>
              </w:rPr>
              <w:t>-6.7%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Operating EPS (Diluted)</w:t>
            </w:r>
          </w:p>
        </w:tc>
        <w:tc>
          <w:tcPr>
            <w:tcW w:type="dxa" w:w="1234"/>
          </w:tcPr>
          <w:p>
            <w:r>
              <w:rPr>
                <w:rFonts w:ascii="Calibri" w:hAnsi="Calibri"/>
                <w:sz w:val="22"/>
              </w:rPr>
              <w:t>$0.79</w:t>
            </w:r>
          </w:p>
        </w:tc>
        <w:tc>
          <w:tcPr>
            <w:tcW w:type="dxa" w:w="1234"/>
          </w:tcPr>
          <w:p>
            <w:r>
              <w:rPr>
                <w:rFonts w:ascii="Calibri" w:hAnsi="Calibri"/>
                <w:sz w:val="22"/>
              </w:rPr>
              <w:t>$1.03</w:t>
            </w:r>
          </w:p>
        </w:tc>
        <w:tc>
          <w:tcPr>
            <w:tcW w:type="dxa" w:w="1234"/>
          </w:tcPr>
          <w:p>
            <w:r>
              <w:rPr>
                <w:rFonts w:ascii="Calibri" w:hAnsi="Calibri"/>
                <w:sz w:val="22"/>
              </w:rPr>
              <w:t>$0.96</w:t>
            </w:r>
          </w:p>
        </w:tc>
        <w:tc>
          <w:tcPr>
            <w:tcW w:type="dxa" w:w="1234"/>
          </w:tcPr>
          <w:p>
            <w:r>
              <w:rPr>
                <w:rFonts w:ascii="Calibri" w:hAnsi="Calibri"/>
                <w:sz w:val="22"/>
              </w:rPr>
              <w:t>-6.8%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Broadband Net Adds (K)</w:t>
            </w:r>
          </w:p>
        </w:tc>
        <w:tc>
          <w:tcPr>
            <w:tcW w:type="dxa" w:w="1234"/>
          </w:tcPr>
          <w:p>
            <w:r>
              <w:rPr>
                <w:rFonts w:ascii="Calibri" w:hAnsi="Calibri"/>
                <w:sz w:val="22"/>
              </w:rPr>
              <w:t>-65K</w:t>
            </w:r>
          </w:p>
        </w:tc>
        <w:tc>
          <w:tcPr>
            <w:tcW w:type="dxa" w:w="1234"/>
          </w:tcPr>
          <w:p>
            <w:r>
              <w:rPr>
                <w:rFonts w:ascii="Calibri" w:hAnsi="Calibri"/>
                <w:sz w:val="22"/>
              </w:rPr>
              <w:t>-201K</w:t>
            </w:r>
          </w:p>
        </w:tc>
        <w:tc>
          <w:tcPr>
            <w:tcW w:type="dxa" w:w="1234"/>
          </w:tcPr>
          <w:p>
            <w:r>
              <w:rPr>
                <w:rFonts w:ascii="Calibri" w:hAnsi="Calibri"/>
                <w:sz w:val="22"/>
              </w:rPr>
              <w:t>-165K</w:t>
            </w:r>
          </w:p>
        </w:tc>
        <w:tc>
          <w:tcPr>
            <w:tcW w:type="dxa" w:w="1234"/>
          </w:tcPr>
          <w:p>
            <w:r>
              <w:rPr>
                <w:rFonts w:ascii="Calibri" w:hAnsi="Calibri"/>
                <w:sz w:val="22"/>
              </w:rPr>
              <w:t>Better YoY (loss improvement)</w:t>
            </w:r>
          </w:p>
        </w:tc>
        <w:tc>
          <w:tcPr>
            <w:tcW w:type="dxa" w:w="1234"/>
          </w:tcPr>
          <w:p>
            <w:r>
              <w:rPr>
                <w:rFonts w:ascii="Calibri" w:hAnsi="Calibri"/>
                <w:sz w:val="22"/>
              </w:rPr>
              <w:t>YoY improvement for full year 2026; Q2 expected to be worse than Q1 (Legendary Feb effect)</w:t>
            </w:r>
          </w:p>
        </w:tc>
        <w:tc>
          <w:tcPr>
            <w:tcW w:type="dxa" w:w="1234"/>
          </w:tcPr>
          <w:p>
            <w:r>
              <w:rPr>
                <w:rFonts w:ascii="Calibri" w:hAnsi="Calibri"/>
                <w:sz w:val="22"/>
              </w:rPr>
              <w:t>Consensus in line with guidance</w:t>
            </w:r>
          </w:p>
        </w:tc>
      </w:tr>
      <w:tr>
        <w:tc>
          <w:tcPr>
            <w:tcW w:type="dxa" w:w="1234"/>
          </w:tcPr>
          <w:p>
            <w:r>
              <w:rPr>
                <w:rFonts w:ascii="Calibri" w:hAnsi="Calibri"/>
                <w:sz w:val="22"/>
              </w:rPr>
              <w:t>Broadband ARPU ($/mo)</w:t>
            </w:r>
          </w:p>
        </w:tc>
        <w:tc>
          <w:tcPr>
            <w:tcW w:type="dxa" w:w="1234"/>
          </w:tcPr>
          <w:p>
            <w:r>
              <w:rPr>
                <w:rFonts w:ascii="Calibri" w:hAnsi="Calibri"/>
                <w:sz w:val="22"/>
              </w:rPr>
              <w:t>$67.68</w:t>
            </w:r>
          </w:p>
        </w:tc>
        <w:tc>
          <w:tcPr>
            <w:tcW w:type="dxa" w:w="1234"/>
          </w:tcPr>
          <w:p>
            <w:r>
              <w:rPr>
                <w:rFonts w:ascii="Calibri" w:hAnsi="Calibri"/>
                <w:sz w:val="22"/>
              </w:rPr>
              <w:t>$70.16</w:t>
            </w:r>
          </w:p>
        </w:tc>
        <w:tc>
          <w:tcPr>
            <w:tcW w:type="dxa" w:w="1234"/>
          </w:tcPr>
          <w:p>
            <w:r>
              <w:rPr>
                <w:rFonts w:ascii="Calibri" w:hAnsi="Calibri"/>
                <w:sz w:val="22"/>
              </w:rPr>
              <w:t>$68.70</w:t>
            </w:r>
          </w:p>
        </w:tc>
        <w:tc>
          <w:tcPr>
            <w:tcW w:type="dxa" w:w="1234"/>
          </w:tcPr>
          <w:p>
            <w:r>
              <w:rPr>
                <w:rFonts w:ascii="Calibri" w:hAnsi="Calibri"/>
                <w:sz w:val="22"/>
              </w:rPr>
              <w:t>-2.1% YoY</w:t>
            </w:r>
          </w:p>
        </w:tc>
        <w:tc>
          <w:tcPr>
            <w:tcW w:type="dxa" w:w="1234"/>
          </w:tcPr>
          <w:p>
            <w:r>
              <w:rPr>
                <w:rFonts w:ascii="Calibri" w:hAnsi="Calibri"/>
                <w:sz w:val="22"/>
              </w:rPr>
              <w:t>Incremental pressure in Q2 before relief in H2 2026</w:t>
            </w:r>
          </w:p>
        </w:tc>
        <w:tc>
          <w:tcPr>
            <w:tcW w:type="dxa" w:w="1234"/>
          </w:tcPr>
          <w:p>
            <w:r>
              <w:rPr>
                <w:rFonts w:ascii="Calibri" w:hAnsi="Calibri"/>
                <w:sz w:val="22"/>
              </w:rPr>
              <w:t>Consensus slightly above guidance midpoint</w:t>
            </w:r>
          </w:p>
        </w:tc>
      </w:tr>
      <w:tr>
        <w:tc>
          <w:tcPr>
            <w:tcW w:type="dxa" w:w="1234"/>
          </w:tcPr>
          <w:p>
            <w:r>
              <w:rPr>
                <w:rFonts w:ascii="Calibri" w:hAnsi="Calibri"/>
                <w:sz w:val="22"/>
              </w:rPr>
              <w:t>Wireless Net Adds (K)</w:t>
            </w:r>
          </w:p>
        </w:tc>
        <w:tc>
          <w:tcPr>
            <w:tcW w:type="dxa" w:w="1234"/>
          </w:tcPr>
          <w:p>
            <w:r>
              <w:rPr>
                <w:rFonts w:ascii="Calibri" w:hAnsi="Calibri"/>
                <w:sz w:val="22"/>
              </w:rPr>
              <w:t>+434K</w:t>
            </w:r>
          </w:p>
        </w:tc>
        <w:tc>
          <w:tcPr>
            <w:tcW w:type="dxa" w:w="1234"/>
          </w:tcPr>
          <w:p>
            <w:r>
              <w:rPr>
                <w:rFonts w:ascii="Calibri" w:hAnsi="Calibri"/>
                <w:sz w:val="22"/>
              </w:rPr>
              <w:t>+379K</w:t>
            </w:r>
          </w:p>
        </w:tc>
        <w:tc>
          <w:tcPr>
            <w:tcW w:type="dxa" w:w="1234"/>
          </w:tcPr>
          <w:p>
            <w:r>
              <w:rPr>
                <w:rFonts w:ascii="Calibri" w:hAnsi="Calibri"/>
                <w:sz w:val="22"/>
              </w:rPr>
              <w:t>+395K</w:t>
            </w:r>
          </w:p>
        </w:tc>
        <w:tc>
          <w:tcPr>
            <w:tcW w:type="dxa" w:w="1234"/>
          </w:tcPr>
          <w:p>
            <w:r>
              <w:rPr>
                <w:rFonts w:ascii="Calibri" w:hAnsi="Calibri"/>
                <w:sz w:val="22"/>
              </w:rPr>
              <w:t>+4.2% YoY</w:t>
            </w:r>
          </w:p>
        </w:tc>
        <w:tc>
          <w:tcPr>
            <w:tcW w:type="dxa" w:w="1234"/>
          </w:tcPr>
          <w:p>
            <w:r>
              <w:rPr>
                <w:rFonts w:ascii="Calibri" w:hAnsi="Calibri"/>
                <w:sz w:val="22"/>
              </w:rPr>
              <w:t>No specific Q2 guidance; continued strong growth expected</w:t>
            </w:r>
          </w:p>
        </w:tc>
        <w:tc>
          <w:tcPr>
            <w:tcW w:type="dxa" w:w="1234"/>
          </w:tcPr>
          <w:p>
            <w:r>
              <w:rPr>
                <w:rFonts w:ascii="Calibri" w:hAnsi="Calibri"/>
                <w:sz w:val="22"/>
              </w:rPr>
              <w:t>N/A</w:t>
            </w:r>
          </w:p>
        </w:tc>
      </w:tr>
      <w:tr>
        <w:tc>
          <w:tcPr>
            <w:tcW w:type="dxa" w:w="1234"/>
          </w:tcPr>
          <w:p>
            <w:r>
              <w:rPr>
                <w:rFonts w:ascii="Calibri" w:hAnsi="Calibri"/>
                <w:sz w:val="22"/>
              </w:rPr>
              <w:t>Peacock Paid Subs (M)</w:t>
            </w:r>
          </w:p>
        </w:tc>
        <w:tc>
          <w:tcPr>
            <w:tcW w:type="dxa" w:w="1234"/>
          </w:tcPr>
          <w:p>
            <w:r>
              <w:rPr>
                <w:rFonts w:ascii="Calibri" w:hAnsi="Calibri"/>
                <w:sz w:val="22"/>
              </w:rPr>
              <w:t>46.0M</w:t>
            </w:r>
          </w:p>
        </w:tc>
        <w:tc>
          <w:tcPr>
            <w:tcW w:type="dxa" w:w="1234"/>
          </w:tcPr>
          <w:p>
            <w:r>
              <w:rPr>
                <w:rFonts w:ascii="Calibri" w:hAnsi="Calibri"/>
                <w:sz w:val="22"/>
              </w:rPr>
              <w:t>41.0M</w:t>
            </w:r>
          </w:p>
        </w:tc>
        <w:tc>
          <w:tcPr>
            <w:tcW w:type="dxa" w:w="1234"/>
          </w:tcPr>
          <w:p>
            <w:r>
              <w:rPr>
                <w:rFonts w:ascii="Calibri" w:hAnsi="Calibri"/>
                <w:sz w:val="22"/>
              </w:rPr>
              <w:t>46.3M</w:t>
            </w:r>
          </w:p>
        </w:tc>
        <w:tc>
          <w:tcPr>
            <w:tcW w:type="dxa" w:w="1234"/>
          </w:tcPr>
          <w:p>
            <w:r>
              <w:rPr>
                <w:rFonts w:ascii="Calibri" w:hAnsi="Calibri"/>
                <w:sz w:val="22"/>
              </w:rPr>
              <w:t>+12.9% YoY</w:t>
            </w:r>
          </w:p>
        </w:tc>
        <w:tc>
          <w:tcPr>
            <w:tcW w:type="dxa" w:w="1234"/>
          </w:tcPr>
          <w:p>
            <w:r>
              <w:rPr>
                <w:rFonts w:ascii="Calibri" w:hAnsi="Calibri"/>
                <w:sz w:val="22"/>
              </w:rPr>
              <w:t>No specific Q2 sub guidance</w:t>
            </w:r>
          </w:p>
        </w:tc>
        <w:tc>
          <w:tcPr>
            <w:tcW w:type="dxa" w:w="1234"/>
          </w:tcPr>
          <w:p>
            <w:r>
              <w:rPr>
                <w:rFonts w:ascii="Calibri" w:hAnsi="Calibri"/>
                <w:sz w:val="22"/>
              </w:rPr>
              <w:t>N/A</w:t>
            </w:r>
          </w:p>
        </w:tc>
      </w:tr>
      <w:tr>
        <w:tc>
          <w:tcPr>
            <w:tcW w:type="dxa" w:w="1234"/>
          </w:tcPr>
          <w:p>
            <w:r>
              <w:rPr>
                <w:rFonts w:ascii="Calibri" w:hAnsi="Calibri"/>
                <w:sz w:val="22"/>
              </w:rPr>
              <w:t>Peacock EBITDA ($M)</w:t>
            </w:r>
          </w:p>
        </w:tc>
        <w:tc>
          <w:tcPr>
            <w:tcW w:type="dxa" w:w="1234"/>
          </w:tcPr>
          <w:p>
            <w:r>
              <w:rPr>
                <w:rFonts w:ascii="Calibri" w:hAnsi="Calibri"/>
                <w:sz w:val="22"/>
              </w:rPr>
              <w:t>-$432M</w:t>
            </w:r>
          </w:p>
        </w:tc>
        <w:tc>
          <w:tcPr>
            <w:tcW w:type="dxa" w:w="1234"/>
          </w:tcPr>
          <w:p>
            <w:r>
              <w:rPr>
                <w:rFonts w:ascii="Calibri" w:hAnsi="Calibri"/>
                <w:sz w:val="22"/>
              </w:rPr>
              <w:t>-$101M</w:t>
            </w:r>
          </w:p>
        </w:tc>
        <w:tc>
          <w:tcPr>
            <w:tcW w:type="dxa" w:w="1234"/>
          </w:tcPr>
          <w:p>
            <w:r>
              <w:rPr>
                <w:rFonts w:ascii="Calibri" w:hAnsi="Calibri"/>
                <w:sz w:val="22"/>
              </w:rPr>
              <w:t>+$27M</w:t>
            </w:r>
          </w:p>
        </w:tc>
        <w:tc>
          <w:tcPr>
            <w:tcW w:type="dxa" w:w="1234"/>
          </w:tcPr>
          <w:p>
            <w:r>
              <w:rPr>
                <w:rFonts w:ascii="Calibri" w:hAnsi="Calibri"/>
                <w:sz w:val="22"/>
              </w:rPr>
              <w:t>Swing to profit</w:t>
            </w:r>
          </w:p>
        </w:tc>
        <w:tc>
          <w:tcPr>
            <w:tcW w:type="dxa" w:w="1234"/>
          </w:tcPr>
          <w:p>
            <w:r>
              <w:rPr>
                <w:rFonts w:ascii="Calibri" w:hAnsi="Calibri"/>
                <w:sz w:val="22"/>
              </w:rPr>
              <w:t>"Will be profitable in Q2" (confirmed at Evercore June 2026)</w:t>
            </w:r>
          </w:p>
        </w:tc>
        <w:tc>
          <w:tcPr>
            <w:tcW w:type="dxa" w:w="1234"/>
          </w:tcPr>
          <w:p>
            <w:r>
              <w:rPr>
                <w:rFonts w:ascii="Calibri" w:hAnsi="Calibri"/>
                <w:sz w:val="22"/>
              </w:rPr>
              <w:t>Consensus in line with guidance</w:t>
            </w:r>
          </w:p>
        </w:tc>
      </w:tr>
      <w:tr>
        <w:tc>
          <w:tcPr>
            <w:tcW w:type="dxa" w:w="1234"/>
          </w:tcPr>
          <w:p>
            <w:r>
              <w:rPr>
                <w:rFonts w:ascii="Calibri" w:hAnsi="Calibri"/>
                <w:sz w:val="22"/>
              </w:rPr>
              <w:t>Theme Parks EBITDA ($M)</w:t>
            </w:r>
          </w:p>
        </w:tc>
        <w:tc>
          <w:tcPr>
            <w:tcW w:type="dxa" w:w="1234"/>
          </w:tcPr>
          <w:p>
            <w:r>
              <w:rPr>
                <w:rFonts w:ascii="Calibri" w:hAnsi="Calibri"/>
                <w:sz w:val="22"/>
              </w:rPr>
              <w:t>$551M</w:t>
            </w:r>
          </w:p>
        </w:tc>
        <w:tc>
          <w:tcPr>
            <w:tcW w:type="dxa" w:w="1234"/>
          </w:tcPr>
          <w:p>
            <w:r>
              <w:rPr>
                <w:rFonts w:ascii="Calibri" w:hAnsi="Calibri"/>
                <w:sz w:val="22"/>
              </w:rPr>
              <w:t>$641M</w:t>
            </w:r>
          </w:p>
        </w:tc>
        <w:tc>
          <w:tcPr>
            <w:tcW w:type="dxa" w:w="1234"/>
          </w:tcPr>
          <w:p>
            <w:r>
              <w:rPr>
                <w:rFonts w:ascii="Calibri" w:hAnsi="Calibri"/>
                <w:sz w:val="22"/>
              </w:rPr>
              <w:t>$648M</w:t>
            </w:r>
          </w:p>
        </w:tc>
        <w:tc>
          <w:tcPr>
            <w:tcW w:type="dxa" w:w="1234"/>
          </w:tcPr>
          <w:p>
            <w:r>
              <w:rPr>
                <w:rFonts w:ascii="Calibri" w:hAnsi="Calibri"/>
                <w:sz w:val="22"/>
              </w:rPr>
              <w:t>+1.1% YoY</w:t>
            </w:r>
          </w:p>
        </w:tc>
        <w:tc>
          <w:tcPr>
            <w:tcW w:type="dxa" w:w="1234"/>
          </w:tcPr>
          <w:p>
            <w:r>
              <w:rPr>
                <w:rFonts w:ascii="Calibri" w:hAnsi="Calibri"/>
                <w:sz w:val="22"/>
              </w:rPr>
              <w:t>Domestic softness emerging; international headwinds (Osaka, Beijing)</w:t>
            </w:r>
          </w:p>
        </w:tc>
        <w:tc>
          <w:tcPr>
            <w:tcW w:type="dxa" w:w="1234"/>
          </w:tcPr>
          <w:p>
            <w:r>
              <w:rPr>
                <w:rFonts w:ascii="Calibri" w:hAnsi="Calibri"/>
                <w:sz w:val="22"/>
              </w:rPr>
              <w:t>Consensus may be at risk given acknowledged softness</w:t>
            </w:r>
          </w:p>
        </w:tc>
      </w:tr>
      <w:tr>
        <w:tc>
          <w:tcPr>
            <w:tcW w:type="dxa" w:w="1234"/>
          </w:tcPr>
          <w:p>
            <w:r>
              <w:rPr>
                <w:rFonts w:ascii="Calibri" w:hAnsi="Calibri"/>
                <w:sz w:val="22"/>
              </w:rPr>
              <w:t>Free Cash Flow ($B)</w:t>
            </w:r>
          </w:p>
        </w:tc>
        <w:tc>
          <w:tcPr>
            <w:tcW w:type="dxa" w:w="1234"/>
          </w:tcPr>
          <w:p>
            <w:r>
              <w:rPr>
                <w:rFonts w:ascii="Calibri" w:hAnsi="Calibri"/>
                <w:sz w:val="22"/>
              </w:rPr>
              <w:t>$3.90B</w:t>
            </w:r>
          </w:p>
        </w:tc>
        <w:tc>
          <w:tcPr>
            <w:tcW w:type="dxa" w:w="1234"/>
          </w:tcPr>
          <w:p>
            <w:r>
              <w:rPr>
                <w:rFonts w:ascii="Calibri" w:hAnsi="Calibri"/>
                <w:sz w:val="22"/>
              </w:rPr>
              <w:t>$4.50B</w:t>
            </w:r>
          </w:p>
        </w:tc>
        <w:tc>
          <w:tcPr>
            <w:tcW w:type="dxa" w:w="1234"/>
          </w:tcPr>
          <w:p>
            <w:r>
              <w:rPr>
                <w:rFonts w:ascii="Calibri" w:hAnsi="Calibri"/>
                <w:sz w:val="22"/>
              </w:rPr>
              <w:t>$3.74B</w:t>
            </w:r>
          </w:p>
        </w:tc>
        <w:tc>
          <w:tcPr>
            <w:tcW w:type="dxa" w:w="1234"/>
          </w:tcPr>
          <w:p>
            <w:r>
              <w:rPr>
                <w:rFonts w:ascii="Calibri" w:hAnsi="Calibri"/>
                <w:sz w:val="22"/>
              </w:rPr>
              <w:t>-16.9% YoY</w:t>
            </w:r>
          </w:p>
        </w:tc>
        <w:tc>
          <w:tcPr>
            <w:tcW w:type="dxa" w:w="1234"/>
          </w:tcPr>
          <w:p>
            <w:r>
              <w:rPr>
                <w:rFonts w:ascii="Calibri" w:hAnsi="Calibri"/>
                <w:sz w:val="22"/>
              </w:rPr>
              <w:t>No specific Q2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 — Top 2 KPIs: Broadband Net Adds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Broadband Net Adds (K)</w:t>
            </w:r>
          </w:p>
        </w:tc>
        <w:tc>
          <w:tcPr>
            <w:tcW w:type="dxa" w:w="1440"/>
          </w:tcPr>
          <w:p>
            <w:r>
              <w:rPr>
                <w:rFonts w:ascii="Calibri" w:hAnsi="Calibri"/>
                <w:sz w:val="22"/>
              </w:rPr>
              <w:t>-65K</w:t>
            </w:r>
          </w:p>
        </w:tc>
        <w:tc>
          <w:tcPr>
            <w:tcW w:type="dxa" w:w="1440"/>
          </w:tcPr>
          <w:p>
            <w:r>
              <w:rPr>
                <w:rFonts w:ascii="Calibri" w:hAnsi="Calibri"/>
                <w:sz w:val="22"/>
              </w:rPr>
              <w:t>-171K</w:t>
            </w:r>
          </w:p>
        </w:tc>
        <w:tc>
          <w:tcPr>
            <w:tcW w:type="dxa" w:w="1440"/>
          </w:tcPr>
          <w:p>
            <w:r>
              <w:rPr>
                <w:rFonts w:ascii="Calibri" w:hAnsi="Calibri"/>
                <w:sz w:val="22"/>
              </w:rPr>
              <w:t>+62% better</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$0.79</w:t>
            </w:r>
          </w:p>
        </w:tc>
        <w:tc>
          <w:tcPr>
            <w:tcW w:type="dxa" w:w="1440"/>
          </w:tcPr>
          <w:p>
            <w:r>
              <w:rPr>
                <w:rFonts w:ascii="Calibri" w:hAnsi="Calibri"/>
                <w:sz w:val="22"/>
              </w:rPr>
              <w:t>$0.73</w:t>
            </w:r>
          </w:p>
        </w:tc>
        <w:tc>
          <w:tcPr>
            <w:tcW w:type="dxa" w:w="1440"/>
          </w:tcPr>
          <w:p>
            <w:r>
              <w:rPr>
                <w:rFonts w:ascii="Calibri" w:hAnsi="Calibri"/>
                <w:sz w:val="22"/>
              </w:rPr>
              <w:t>+8.2%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Broadband Net Adds (K)</w:t>
            </w:r>
          </w:p>
        </w:tc>
        <w:tc>
          <w:tcPr>
            <w:tcW w:type="dxa" w:w="1440"/>
          </w:tcPr>
          <w:p>
            <w:r>
              <w:rPr>
                <w:rFonts w:ascii="Calibri" w:hAnsi="Calibri"/>
                <w:sz w:val="22"/>
              </w:rPr>
              <w:t>-181K</w:t>
            </w:r>
          </w:p>
        </w:tc>
        <w:tc>
          <w:tcPr>
            <w:tcW w:type="dxa" w:w="1440"/>
          </w:tcPr>
          <w:p>
            <w:r>
              <w:rPr>
                <w:rFonts w:ascii="Calibri" w:hAnsi="Calibri"/>
                <w:sz w:val="22"/>
              </w:rPr>
              <w:t>-178K</w:t>
            </w:r>
          </w:p>
        </w:tc>
        <w:tc>
          <w:tcPr>
            <w:tcW w:type="dxa" w:w="1440"/>
          </w:tcPr>
          <w:p>
            <w:r>
              <w:rPr>
                <w:rFonts w:ascii="Calibri" w:hAnsi="Calibri"/>
                <w:sz w:val="22"/>
              </w:rPr>
              <w:t>-1.7% worse</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$0.84</w:t>
            </w:r>
          </w:p>
        </w:tc>
        <w:tc>
          <w:tcPr>
            <w:tcW w:type="dxa" w:w="1440"/>
          </w:tcPr>
          <w:p>
            <w:r>
              <w:rPr>
                <w:rFonts w:ascii="Calibri" w:hAnsi="Calibri"/>
                <w:sz w:val="22"/>
              </w:rPr>
              <w:t>$0.74</w:t>
            </w:r>
          </w:p>
        </w:tc>
        <w:tc>
          <w:tcPr>
            <w:tcW w:type="dxa" w:w="1440"/>
          </w:tcPr>
          <w:p>
            <w:r>
              <w:rPr>
                <w:rFonts w:ascii="Calibri" w:hAnsi="Calibri"/>
                <w:sz w:val="22"/>
              </w:rPr>
              <w:t>+13.5%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Broadband Net Adds (K)</w:t>
            </w:r>
          </w:p>
        </w:tc>
        <w:tc>
          <w:tcPr>
            <w:tcW w:type="dxa" w:w="1440"/>
          </w:tcPr>
          <w:p>
            <w:r>
              <w:rPr>
                <w:rFonts w:ascii="Calibri" w:hAnsi="Calibri"/>
                <w:sz w:val="22"/>
              </w:rPr>
              <w:t>-104K</w:t>
            </w:r>
          </w:p>
        </w:tc>
        <w:tc>
          <w:tcPr>
            <w:tcW w:type="dxa" w:w="1440"/>
          </w:tcPr>
          <w:p>
            <w:r>
              <w:rPr>
                <w:rFonts w:ascii="Calibri" w:hAnsi="Calibri"/>
                <w:sz w:val="22"/>
              </w:rPr>
              <w:t>-137K</w:t>
            </w:r>
          </w:p>
        </w:tc>
        <w:tc>
          <w:tcPr>
            <w:tcW w:type="dxa" w:w="1440"/>
          </w:tcPr>
          <w:p>
            <w:r>
              <w:rPr>
                <w:rFonts w:ascii="Calibri" w:hAnsi="Calibri"/>
                <w:sz w:val="22"/>
              </w:rPr>
              <w:t>+24% better</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$0.97</w:t>
            </w:r>
          </w:p>
        </w:tc>
        <w:tc>
          <w:tcPr>
            <w:tcW w:type="dxa" w:w="1440"/>
          </w:tcPr>
          <w:p>
            <w:r>
              <w:rPr>
                <w:rFonts w:ascii="Calibri" w:hAnsi="Calibri"/>
                <w:sz w:val="22"/>
              </w:rPr>
              <w:t>$1.09</w:t>
            </w:r>
          </w:p>
        </w:tc>
        <w:tc>
          <w:tcPr>
            <w:tcW w:type="dxa" w:w="1440"/>
          </w:tcPr>
          <w:p>
            <w:r>
              <w:rPr>
                <w:rFonts w:ascii="Calibri" w:hAnsi="Calibri"/>
                <w:sz w:val="22"/>
              </w:rPr>
              <w:t>-11.0%</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Broadband Net Adds (K)</w:t>
            </w:r>
          </w:p>
        </w:tc>
        <w:tc>
          <w:tcPr>
            <w:tcW w:type="dxa" w:w="1440"/>
          </w:tcPr>
          <w:p>
            <w:r>
              <w:rPr>
                <w:rFonts w:ascii="Calibri" w:hAnsi="Calibri"/>
                <w:sz w:val="22"/>
              </w:rPr>
              <w:t>-201K</w:t>
            </w:r>
          </w:p>
        </w:tc>
        <w:tc>
          <w:tcPr>
            <w:tcW w:type="dxa" w:w="1440"/>
          </w:tcPr>
          <w:p>
            <w:r>
              <w:rPr>
                <w:rFonts w:ascii="Calibri" w:hAnsi="Calibri"/>
                <w:sz w:val="22"/>
              </w:rPr>
              <w:t>-261K</w:t>
            </w:r>
          </w:p>
        </w:tc>
        <w:tc>
          <w:tcPr>
            <w:tcW w:type="dxa" w:w="1440"/>
          </w:tcPr>
          <w:p>
            <w:r>
              <w:rPr>
                <w:rFonts w:ascii="Calibri" w:hAnsi="Calibri"/>
                <w:sz w:val="22"/>
              </w:rPr>
              <w:t>+23% better</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$1.03</w:t>
            </w:r>
          </w:p>
        </w:tc>
        <w:tc>
          <w:tcPr>
            <w:tcW w:type="dxa" w:w="1440"/>
          </w:tcPr>
          <w:p>
            <w:r>
              <w:rPr>
                <w:rFonts w:ascii="Calibri" w:hAnsi="Calibri"/>
                <w:sz w:val="22"/>
              </w:rPr>
              <w:t>$1.17</w:t>
            </w:r>
          </w:p>
        </w:tc>
        <w:tc>
          <w:tcPr>
            <w:tcW w:type="dxa" w:w="1440"/>
          </w:tcPr>
          <w:p>
            <w:r>
              <w:rPr>
                <w:rFonts w:ascii="Calibri" w:hAnsi="Calibri"/>
                <w:sz w:val="22"/>
              </w:rPr>
              <w:t>-11.9%</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Broadband Net Adds (K)</w:t>
            </w:r>
          </w:p>
        </w:tc>
        <w:tc>
          <w:tcPr>
            <w:tcW w:type="dxa" w:w="1440"/>
          </w:tcPr>
          <w:p>
            <w:r>
              <w:rPr>
                <w:rFonts w:ascii="Calibri" w:hAnsi="Calibri"/>
                <w:sz w:val="22"/>
              </w:rPr>
              <w:t>-199K</w:t>
            </w:r>
          </w:p>
        </w:tc>
        <w:tc>
          <w:tcPr>
            <w:tcW w:type="dxa" w:w="1440"/>
          </w:tcPr>
          <w:p>
            <w:r>
              <w:rPr>
                <w:rFonts w:ascii="Calibri" w:hAnsi="Calibri"/>
                <w:sz w:val="22"/>
              </w:rPr>
              <w:t>-148K</w:t>
            </w:r>
          </w:p>
        </w:tc>
        <w:tc>
          <w:tcPr>
            <w:tcW w:type="dxa" w:w="1440"/>
          </w:tcPr>
          <w:p>
            <w:r>
              <w:rPr>
                <w:rFonts w:ascii="Calibri" w:hAnsi="Calibri"/>
                <w:sz w:val="22"/>
              </w:rPr>
              <w:t>-34% worse</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$0.87</w:t>
            </w:r>
          </w:p>
        </w:tc>
        <w:tc>
          <w:tcPr>
            <w:tcW w:type="dxa" w:w="1440"/>
          </w:tcPr>
          <w:p>
            <w:r>
              <w:rPr>
                <w:rFonts w:ascii="Calibri" w:hAnsi="Calibri"/>
                <w:sz w:val="22"/>
              </w:rPr>
              <w:t>$0.99</w:t>
            </w:r>
          </w:p>
        </w:tc>
        <w:tc>
          <w:tcPr>
            <w:tcW w:type="dxa" w:w="1440"/>
          </w:tcPr>
          <w:p>
            <w:r>
              <w:rPr>
                <w:rFonts w:ascii="Calibri" w:hAnsi="Calibri"/>
                <w:sz w:val="22"/>
              </w:rPr>
              <w:t>-12.1%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Broadband Net Adds (K)</w:t>
            </w:r>
          </w:p>
        </w:tc>
        <w:tc>
          <w:tcPr>
            <w:tcW w:type="dxa" w:w="1440"/>
          </w:tcPr>
          <w:p>
            <w:r>
              <w:rPr>
                <w:rFonts w:ascii="Calibri" w:hAnsi="Calibri"/>
                <w:sz w:val="22"/>
              </w:rPr>
              <w:t>-139K</w:t>
            </w:r>
          </w:p>
        </w:tc>
        <w:tc>
          <w:tcPr>
            <w:tcW w:type="dxa" w:w="1440"/>
          </w:tcPr>
          <w:p>
            <w:r>
              <w:rPr>
                <w:rFonts w:ascii="Calibri" w:hAnsi="Calibri"/>
                <w:sz w:val="22"/>
              </w:rPr>
              <w:t>-99K</w:t>
            </w:r>
          </w:p>
        </w:tc>
        <w:tc>
          <w:tcPr>
            <w:tcW w:type="dxa" w:w="1440"/>
          </w:tcPr>
          <w:p>
            <w:r>
              <w:rPr>
                <w:rFonts w:ascii="Calibri" w:hAnsi="Calibri"/>
                <w:sz w:val="22"/>
              </w:rPr>
              <w:t>-40% worse</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$0.76</w:t>
            </w:r>
          </w:p>
        </w:tc>
        <w:tc>
          <w:tcPr>
            <w:tcW w:type="dxa" w:w="1440"/>
          </w:tcPr>
          <w:p>
            <w:r>
              <w:rPr>
                <w:rFonts w:ascii="Calibri" w:hAnsi="Calibri"/>
                <w:sz w:val="22"/>
              </w:rPr>
              <w:t>$0.86</w:t>
            </w:r>
          </w:p>
        </w:tc>
        <w:tc>
          <w:tcPr>
            <w:tcW w:type="dxa" w:w="1440"/>
          </w:tcPr>
          <w:p>
            <w:r>
              <w:rPr>
                <w:rFonts w:ascii="Calibri" w:hAnsi="Calibri"/>
                <w:sz w:val="22"/>
              </w:rPr>
              <w:t>-11.7%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Broadband Net Adds (K)</w:t>
            </w:r>
          </w:p>
        </w:tc>
        <w:tc>
          <w:tcPr>
            <w:tcW w:type="dxa" w:w="1440"/>
          </w:tcPr>
          <w:p>
            <w:r>
              <w:rPr>
                <w:rFonts w:ascii="Calibri" w:hAnsi="Calibri"/>
                <w:sz w:val="22"/>
              </w:rPr>
              <w:t>-87K</w:t>
            </w:r>
          </w:p>
        </w:tc>
        <w:tc>
          <w:tcPr>
            <w:tcW w:type="dxa" w:w="1440"/>
          </w:tcPr>
          <w:p>
            <w:r>
              <w:rPr>
                <w:rFonts w:ascii="Calibri" w:hAnsi="Calibri"/>
                <w:sz w:val="22"/>
              </w:rPr>
              <w:t>-147K</w:t>
            </w:r>
          </w:p>
        </w:tc>
        <w:tc>
          <w:tcPr>
            <w:tcW w:type="dxa" w:w="1440"/>
          </w:tcPr>
          <w:p>
            <w:r>
              <w:rPr>
                <w:rFonts w:ascii="Calibri" w:hAnsi="Calibri"/>
                <w:sz w:val="22"/>
              </w:rPr>
              <w:t>+41% better</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$0.99</w:t>
            </w:r>
          </w:p>
        </w:tc>
        <w:tc>
          <w:tcPr>
            <w:tcW w:type="dxa" w:w="1440"/>
          </w:tcPr>
          <w:p>
            <w:r>
              <w:rPr>
                <w:rFonts w:ascii="Calibri" w:hAnsi="Calibri"/>
                <w:sz w:val="22"/>
              </w:rPr>
              <w:t>$1.06</w:t>
            </w:r>
          </w:p>
        </w:tc>
        <w:tc>
          <w:tcPr>
            <w:tcW w:type="dxa" w:w="1440"/>
          </w:tcPr>
          <w:p>
            <w:r>
              <w:rPr>
                <w:rFonts w:ascii="Calibri" w:hAnsi="Calibri"/>
                <w:sz w:val="22"/>
              </w:rPr>
              <w:t>-6.6%</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Broadband Net Adds (K)</w:t>
            </w:r>
          </w:p>
        </w:tc>
        <w:tc>
          <w:tcPr>
            <w:tcW w:type="dxa" w:w="1440"/>
          </w:tcPr>
          <w:p>
            <w:r>
              <w:rPr>
                <w:rFonts w:ascii="Calibri" w:hAnsi="Calibri"/>
                <w:sz w:val="22"/>
              </w:rPr>
              <w:t>-120K</w:t>
            </w:r>
          </w:p>
        </w:tc>
        <w:tc>
          <w:tcPr>
            <w:tcW w:type="dxa" w:w="1440"/>
          </w:tcPr>
          <w:p>
            <w:r>
              <w:rPr>
                <w:rFonts w:ascii="Calibri" w:hAnsi="Calibri"/>
                <w:sz w:val="22"/>
              </w:rPr>
              <w:t>-158K</w:t>
            </w:r>
          </w:p>
        </w:tc>
        <w:tc>
          <w:tcPr>
            <w:tcW w:type="dxa" w:w="1440"/>
          </w:tcPr>
          <w:p>
            <w:r>
              <w:rPr>
                <w:rFonts w:ascii="Calibri" w:hAnsi="Calibri"/>
                <w:sz w:val="22"/>
              </w:rPr>
              <w:t>+24% better</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$1.00</w:t>
            </w:r>
          </w:p>
        </w:tc>
        <w:tc>
          <w:tcPr>
            <w:tcW w:type="dxa" w:w="1440"/>
          </w:tcPr>
          <w:p>
            <w:r>
              <w:rPr>
                <w:rFonts w:ascii="Calibri" w:hAnsi="Calibri"/>
                <w:sz w:val="22"/>
              </w:rPr>
              <w:t>$1.12</w:t>
            </w:r>
          </w:p>
        </w:tc>
        <w:tc>
          <w:tcPr>
            <w:tcW w:type="dxa" w:w="1440"/>
          </w:tcPr>
          <w:p>
            <w:r>
              <w:rPr>
                <w:rFonts w:ascii="Calibri" w:hAnsi="Calibri"/>
                <w:sz w:val="22"/>
              </w:rPr>
              <w:t>-10.7%</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Broadband net adds have beaten consensus in 5 of the last 8 quarters as the street consistently over-estimates losses — a structural setup that favors a beat on the subscriber line. Operating EPS, however, has missed in 6 of the last 8 quarters, reflecting persistent cost headwinds from NBA rights, wireless investment, and broadband go-to-market spend that the street has struggled to model accurately.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Q1 earnings with one critical upgrade — management moved from "approaching profitability" to "will be profitable" on Peacock for Q2 — while the </w:t>
      </w:r>
      <w:r>
        <w:rPr>
          <w:rFonts w:ascii="Calibri" w:hAnsi="Calibri"/>
          <w:b/>
          <w:color w:val="525866"/>
          <w:sz w:val="22"/>
        </w:rPr>
        <w:t>NBCU spin-off announcement on June 29</w:t>
      </w:r>
      <w:r>
        <w:rPr>
          <w:rFonts w:ascii="Calibri" w:hAnsi="Calibri"/>
          <w:color w:val="525866"/>
          <w:sz w:val="22"/>
        </w:rPr>
        <w:t xml:space="preserve"> represents a structural shift in the company's forward narrative that supersedes all prior guidance framing.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Broadband Net Adds (FY2026)</w:t>
            </w:r>
          </w:p>
        </w:tc>
        <w:tc>
          <w:tcPr>
            <w:tcW w:type="dxa" w:w="1728"/>
          </w:tcPr>
          <w:p>
            <w:r>
              <w:rPr>
                <w:rFonts w:ascii="Calibri" w:hAnsi="Calibri"/>
                <w:sz w:val="22"/>
              </w:rPr>
              <w:t>YoY improvement for full year 2026; Q1 benefited disproportionately from Legendary February</w:t>
            </w:r>
          </w:p>
        </w:tc>
        <w:tc>
          <w:tcPr>
            <w:tcW w:type="dxa" w:w="1728"/>
          </w:tcPr>
          <w:p>
            <w:r>
              <w:rPr>
                <w:rFonts w:ascii="Calibri" w:hAnsi="Calibri"/>
                <w:sz w:val="22"/>
              </w:rPr>
              <w:t>—</w:t>
            </w:r>
          </w:p>
        </w:tc>
        <w:tc>
          <w:tcPr>
            <w:tcW w:type="dxa" w:w="1728"/>
          </w:tcPr>
          <w:p>
            <w:r>
              <w:rPr>
                <w:rFonts w:ascii="Calibri" w:hAnsi="Calibri"/>
                <w:sz w:val="22"/>
              </w:rPr>
              <w:t>-446K (FY2026 consensus)</w:t>
            </w:r>
          </w:p>
        </w:tc>
        <w:tc>
          <w:tcPr>
            <w:tcW w:type="dxa" w:w="1728"/>
          </w:tcPr>
          <w:p>
            <w:r>
              <w:rPr>
                <w:rFonts w:ascii="Calibri" w:hAnsi="Calibri"/>
                <w:sz w:val="22"/>
              </w:rPr>
              <w:t>Guidance unchanged; management reiterated at MoffettNathanson (May 14) that ~half of Q1 improvement was sustainable</w:t>
            </w:r>
          </w:p>
        </w:tc>
      </w:tr>
      <w:tr>
        <w:tc>
          <w:tcPr>
            <w:tcW w:type="dxa" w:w="1728"/>
          </w:tcPr>
          <w:p>
            <w:r>
              <w:rPr>
                <w:rFonts w:ascii="Calibri" w:hAnsi="Calibri"/>
                <w:sz w:val="22"/>
              </w:rPr>
              <w:t>Broadband ARPU</w:t>
            </w:r>
          </w:p>
        </w:tc>
        <w:tc>
          <w:tcPr>
            <w:tcW w:type="dxa" w:w="1728"/>
          </w:tcPr>
          <w:p>
            <w:r>
              <w:rPr>
                <w:rFonts w:ascii="Calibri" w:hAnsi="Calibri"/>
                <w:sz w:val="22"/>
              </w:rPr>
              <w:t>Incremental pressure in Q2; relief as company exits year; free lines converting to paid in H2 2026</w:t>
            </w:r>
          </w:p>
        </w:tc>
        <w:tc>
          <w:tcPr>
            <w:tcW w:type="dxa" w:w="1728"/>
          </w:tcPr>
          <w:p>
            <w:r>
              <w:rPr>
                <w:rFonts w:ascii="Calibri" w:hAnsi="Calibri"/>
                <w:sz w:val="22"/>
              </w:rPr>
              <w:t>—</w:t>
            </w:r>
          </w:p>
        </w:tc>
        <w:tc>
          <w:tcPr>
            <w:tcW w:type="dxa" w:w="1728"/>
          </w:tcPr>
          <w:p>
            <w:r>
              <w:rPr>
                <w:rFonts w:ascii="Calibri" w:hAnsi="Calibri"/>
                <w:sz w:val="22"/>
              </w:rPr>
              <w:t>$68.70/mo (Q2 consensus)</w:t>
            </w:r>
          </w:p>
        </w:tc>
        <w:tc>
          <w:tcPr>
            <w:tcW w:type="dxa" w:w="1728"/>
          </w:tcPr>
          <w:p>
            <w:r>
              <w:rPr>
                <w:rFonts w:ascii="Calibri" w:hAnsi="Calibri"/>
                <w:sz w:val="22"/>
              </w:rPr>
              <w:t>Reiterated at MoffettNathanson (May 14); transactional activity expected to lap itself; pricing flexibility retained</w:t>
            </w:r>
          </w:p>
        </w:tc>
      </w:tr>
      <w:tr>
        <w:tc>
          <w:tcPr>
            <w:tcW w:type="dxa" w:w="1728"/>
          </w:tcPr>
          <w:p>
            <w:r>
              <w:rPr>
                <w:rFonts w:ascii="Calibri" w:hAnsi="Calibri"/>
                <w:sz w:val="22"/>
              </w:rPr>
              <w:t>Peacock EBITDA (Q2 2026)</w:t>
            </w:r>
          </w:p>
        </w:tc>
        <w:tc>
          <w:tcPr>
            <w:tcW w:type="dxa" w:w="1728"/>
          </w:tcPr>
          <w:p>
            <w:r>
              <w:rPr>
                <w:rFonts w:ascii="Calibri" w:hAnsi="Calibri"/>
                <w:sz w:val="22"/>
              </w:rPr>
              <w:t>"Approaching profitability" in Q2 2026</w:t>
            </w:r>
          </w:p>
        </w:tc>
        <w:tc>
          <w:tcPr>
            <w:tcW w:type="dxa" w:w="1728"/>
          </w:tcPr>
          <w:p>
            <w:r>
              <w:rPr>
                <w:rFonts w:ascii="Calibri" w:hAnsi="Calibri"/>
                <w:sz w:val="22"/>
              </w:rPr>
              <w:t>"Will be profitable in Q2" — confirmed at Evercore TMT Conference (June 2, 2026)</w:t>
            </w:r>
          </w:p>
        </w:tc>
        <w:tc>
          <w:tcPr>
            <w:tcW w:type="dxa" w:w="1728"/>
          </w:tcPr>
          <w:p>
            <w:r>
              <w:rPr>
                <w:rFonts w:ascii="Calibri" w:hAnsi="Calibri"/>
                <w:sz w:val="22"/>
              </w:rPr>
              <w:t>+$27M (consensus)</w:t>
            </w:r>
          </w:p>
        </w:tc>
        <w:tc>
          <w:tcPr>
            <w:tcW w:type="dxa" w:w="1728"/>
          </w:tcPr>
          <w:p>
            <w:r>
              <w:rPr>
                <w:rFonts w:ascii="Calibri" w:hAnsi="Calibri"/>
                <w:sz w:val="22"/>
              </w:rPr>
              <w:t>↑ Upgraded at Evercore June 2, 2026; language shifted from 'approaching' to definitive confirmation; NBA amortization dynamics support durable profitability beyond Q2</w:t>
            </w:r>
          </w:p>
        </w:tc>
      </w:tr>
      <w:tr>
        <w:tc>
          <w:tcPr>
            <w:tcW w:type="dxa" w:w="1728"/>
          </w:tcPr>
          <w:p>
            <w:r>
              <w:rPr>
                <w:rFonts w:ascii="Calibri" w:hAnsi="Calibri"/>
                <w:sz w:val="22"/>
              </w:rPr>
              <w:t>Wireless Net Adds</w:t>
            </w:r>
          </w:p>
        </w:tc>
        <w:tc>
          <w:tcPr>
            <w:tcW w:type="dxa" w:w="1728"/>
          </w:tcPr>
          <w:p>
            <w:r>
              <w:rPr>
                <w:rFonts w:ascii="Calibri" w:hAnsi="Calibri"/>
                <w:sz w:val="22"/>
              </w:rPr>
              <w:t>Continued strong growth; #1 priority; free line conversions to paid in H2 2026</w:t>
            </w:r>
          </w:p>
        </w:tc>
        <w:tc>
          <w:tcPr>
            <w:tcW w:type="dxa" w:w="1728"/>
          </w:tcPr>
          <w:p>
            <w:r>
              <w:rPr>
                <w:rFonts w:ascii="Calibri" w:hAnsi="Calibri"/>
                <w:sz w:val="22"/>
              </w:rPr>
              <w:t>—</w:t>
            </w:r>
          </w:p>
        </w:tc>
        <w:tc>
          <w:tcPr>
            <w:tcW w:type="dxa" w:w="1728"/>
          </w:tcPr>
          <w:p>
            <w:r>
              <w:rPr>
                <w:rFonts w:ascii="Calibri" w:hAnsi="Calibri"/>
                <w:sz w:val="22"/>
              </w:rPr>
              <w:t>+395K (Q2 consensus)</w:t>
            </w:r>
          </w:p>
        </w:tc>
        <w:tc>
          <w:tcPr>
            <w:tcW w:type="dxa" w:w="1728"/>
          </w:tcPr>
          <w:p>
            <w:r>
              <w:rPr>
                <w:rFonts w:ascii="Calibri" w:hAnsi="Calibri"/>
                <w:sz w:val="22"/>
              </w:rPr>
              <w:t>Reiterated at MoffettNathanson (May 14); 30% of net adds from existing mobile customers adding lines</w:t>
            </w:r>
          </w:p>
        </w:tc>
      </w:tr>
      <w:tr>
        <w:tc>
          <w:tcPr>
            <w:tcW w:type="dxa" w:w="1728"/>
          </w:tcPr>
          <w:p>
            <w:r>
              <w:rPr>
                <w:rFonts w:ascii="Calibri" w:hAnsi="Calibri"/>
                <w:sz w:val="22"/>
              </w:rPr>
              <w:t>Leverage / Capital Allocation</w:t>
            </w:r>
          </w:p>
        </w:tc>
        <w:tc>
          <w:tcPr>
            <w:tcW w:type="dxa" w:w="1728"/>
          </w:tcPr>
          <w:p>
            <w:r>
              <w:rPr>
                <w:rFonts w:ascii="Calibri" w:hAnsi="Calibri"/>
                <w:sz w:val="22"/>
              </w:rPr>
              <w:t>Leverage to tick up modestly as Versant exits trailing calculation; target return to ~2.3x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Spin-off announcement (June 29) introduces new capital structure considerations; Comcast intends strong investment-grade balance sheet for each entity</w:t>
            </w:r>
          </w:p>
        </w:tc>
      </w:tr>
      <w:tr>
        <w:tc>
          <w:tcPr>
            <w:tcW w:type="dxa" w:w="1728"/>
          </w:tcPr>
          <w:p>
            <w:r>
              <w:rPr>
                <w:rFonts w:ascii="Calibri" w:hAnsi="Calibri"/>
                <w:sz w:val="22"/>
              </w:rPr>
              <w:t>Corporate Structure</w:t>
            </w:r>
          </w:p>
        </w:tc>
        <w:tc>
          <w:tcPr>
            <w:tcW w:type="dxa" w:w="1728"/>
          </w:tcPr>
          <w:p>
            <w:r>
              <w:rPr>
                <w:rFonts w:ascii="Calibri" w:hAnsi="Calibri"/>
                <w:sz w:val="22"/>
              </w:rPr>
              <w:t>Organic execution as Plan A; open to strategic possibilities</w:t>
            </w:r>
          </w:p>
        </w:tc>
        <w:tc>
          <w:tcPr>
            <w:tcW w:type="dxa" w:w="1728"/>
          </w:tcPr>
          <w:p>
            <w:r>
              <w:rPr>
                <w:rFonts w:ascii="Calibri" w:hAnsi="Calibri"/>
                <w:sz w:val="22"/>
              </w:rPr>
              <w:t>Tax-free spin-off of NBCUniversal &amp; Sky announced June 29, 2026; expected to complete in ~1 year; Michael Angelakis named future Comcast CEO; Mike Cavanagh to lead NBCUniversal</w:t>
            </w:r>
          </w:p>
        </w:tc>
        <w:tc>
          <w:tcPr>
            <w:tcW w:type="dxa" w:w="1728"/>
          </w:tcPr>
          <w:p>
            <w:r>
              <w:rPr>
                <w:rFonts w:ascii="Calibri" w:hAnsi="Calibri"/>
                <w:sz w:val="22"/>
              </w:rPr>
              <w:t>N/A</w:t>
            </w:r>
          </w:p>
        </w:tc>
        <w:tc>
          <w:tcPr>
            <w:tcW w:type="dxa" w:w="1728"/>
          </w:tcPr>
          <w:p>
            <w:r>
              <w:rPr>
                <w:rFonts w:ascii="Calibri" w:hAnsi="Calibri"/>
                <w:sz w:val="22"/>
              </w:rPr>
              <w:t>↑ Major structural shift announced via 8-K/press release June 29, 2026; most significant development since Q1 earnings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stable-to-slightly-lower since Q1 earnings, with FY2026 operating EPS drifting down ~2% and revenue essentially flat — the street is in a holding pattern. The </w:t>
      </w:r>
      <w:r>
        <w:rPr>
          <w:rFonts w:ascii="Calibri" w:hAnsi="Calibri"/>
          <w:b/>
          <w:color w:val="525866"/>
          <w:sz w:val="22"/>
        </w:rPr>
        <w:t>most notable revision is the Peacock EBITDA estimate swinging from -$403M to +$27M for Q2</w:t>
      </w:r>
      <w:r>
        <w:rPr>
          <w:rFonts w:ascii="Calibri" w:hAnsi="Calibri"/>
          <w:color w:val="525866"/>
          <w:sz w:val="22"/>
        </w:rPr>
        <w:t>, reflecting management's definitive profitability confirmation at the June Evercore conference.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(Apr 28, 2026)</w:t>
            </w:r>
          </w:p>
        </w:tc>
        <w:tc>
          <w:tcPr>
            <w:tcW w:type="dxa" w:w="1234"/>
            <w:shd w:val="clear" w:color="auto" w:fill="3B4259"/>
          </w:tcPr>
          <w:p>
            <w:r>
              <w:rPr>
                <w:rFonts w:ascii="Calibri" w:hAnsi="Calibri"/>
                <w:b/>
                <w:color w:val="FFFFFF"/>
                <w:sz w:val="22"/>
              </w:rPr>
              <w:t>Current Consensus (Jul 22,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Earnings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 Q2 2026</w:t>
            </w:r>
          </w:p>
        </w:tc>
        <w:tc>
          <w:tcPr>
            <w:tcW w:type="dxa" w:w="1234"/>
          </w:tcPr>
          <w:p>
            <w:r>
              <w:rPr>
                <w:rFonts w:ascii="Calibri" w:hAnsi="Calibri"/>
                <w:sz w:val="22"/>
              </w:rPr>
              <w:t>$29.25B</w:t>
            </w:r>
          </w:p>
        </w:tc>
        <w:tc>
          <w:tcPr>
            <w:tcW w:type="dxa" w:w="1234"/>
          </w:tcPr>
          <w:p>
            <w:r>
              <w:rPr>
                <w:rFonts w:ascii="Calibri" w:hAnsi="Calibri"/>
                <w:sz w:val="22"/>
              </w:rPr>
              <w:t>$29.27B</w:t>
            </w:r>
          </w:p>
        </w:tc>
        <w:tc>
          <w:tcPr>
            <w:tcW w:type="dxa" w:w="1234"/>
          </w:tcPr>
          <w:p>
            <w:r>
              <w:rPr>
                <w:rFonts w:ascii="Calibri" w:hAnsi="Calibri"/>
                <w:sz w:val="22"/>
              </w:rPr>
              <w:t>+0.1%</w:t>
            </w:r>
          </w:p>
        </w:tc>
        <w:tc>
          <w:tcPr>
            <w:tcW w:type="dxa" w:w="1234"/>
          </w:tcPr>
          <w:p>
            <w:r>
              <w:rPr>
                <w:rFonts w:ascii="Calibri" w:hAnsi="Calibri"/>
                <w:sz w:val="22"/>
              </w:rPr>
              <w:t>No specific Q2 guidance</w:t>
            </w:r>
          </w:p>
        </w:tc>
        <w:tc>
          <w:tcPr>
            <w:tcW w:type="dxa" w:w="1234"/>
          </w:tcPr>
          <w:p>
            <w:r>
              <w:rPr>
                <w:rFonts w:ascii="Calibri" w:hAnsi="Calibri"/>
                <w:sz w:val="22"/>
              </w:rPr>
              <w:t>No change</w:t>
            </w:r>
          </w:p>
        </w:tc>
        <w:tc>
          <w:tcPr>
            <w:tcW w:type="dxa" w:w="1234"/>
          </w:tcPr>
          <w:p>
            <w:r>
              <w:rPr>
                <w:rFonts w:ascii="Calibri" w:hAnsi="Calibri"/>
                <w:sz w:val="22"/>
              </w:rPr>
              <w:t>N/A</w:t>
            </w:r>
          </w:p>
        </w:tc>
      </w:tr>
      <w:tr>
        <w:tc>
          <w:tcPr>
            <w:tcW w:type="dxa" w:w="1234"/>
          </w:tcPr>
          <w:p>
            <w:r>
              <w:rPr>
                <w:rFonts w:ascii="Calibri" w:hAnsi="Calibri"/>
                <w:sz w:val="22"/>
              </w:rPr>
              <w:t>Revenue — FY2026</w:t>
            </w:r>
          </w:p>
        </w:tc>
        <w:tc>
          <w:tcPr>
            <w:tcW w:type="dxa" w:w="1234"/>
          </w:tcPr>
          <w:p>
            <w:r>
              <w:rPr>
                <w:rFonts w:ascii="Calibri" w:hAnsi="Calibri"/>
                <w:sz w:val="22"/>
              </w:rPr>
              <w:t>$121.81B</w:t>
            </w:r>
          </w:p>
        </w:tc>
        <w:tc>
          <w:tcPr>
            <w:tcW w:type="dxa" w:w="1234"/>
          </w:tcPr>
          <w:p>
            <w:r>
              <w:rPr>
                <w:rFonts w:ascii="Calibri" w:hAnsi="Calibri"/>
                <w:sz w:val="22"/>
              </w:rPr>
              <w:t>$121.79B</w:t>
            </w:r>
          </w:p>
        </w:tc>
        <w:tc>
          <w:tcPr>
            <w:tcW w:type="dxa" w:w="1234"/>
          </w:tcPr>
          <w:p>
            <w:r>
              <w:rPr>
                <w:rFonts w:ascii="Calibri" w:hAnsi="Calibri"/>
                <w:sz w:val="22"/>
              </w:rPr>
              <w:t>-0.0%</w:t>
            </w:r>
          </w:p>
        </w:tc>
        <w:tc>
          <w:tcPr>
            <w:tcW w:type="dxa" w:w="1234"/>
          </w:tcPr>
          <w:p>
            <w:r>
              <w:rPr>
                <w:rFonts w:ascii="Calibri" w:hAnsi="Calibri"/>
                <w:sz w:val="22"/>
              </w:rPr>
              <w:t>No specific FY guidance</w:t>
            </w:r>
          </w:p>
        </w:tc>
        <w:tc>
          <w:tcPr>
            <w:tcW w:type="dxa" w:w="1234"/>
          </w:tcPr>
          <w:p>
            <w:r>
              <w:rPr>
                <w:rFonts w:ascii="Calibri" w:hAnsi="Calibri"/>
                <w:sz w:val="22"/>
              </w:rPr>
              <w:t>No change</w:t>
            </w:r>
          </w:p>
        </w:tc>
        <w:tc>
          <w:tcPr>
            <w:tcW w:type="dxa" w:w="1234"/>
          </w:tcPr>
          <w:p>
            <w:r>
              <w:rPr>
                <w:rFonts w:ascii="Calibri" w:hAnsi="Calibri"/>
                <w:sz w:val="22"/>
              </w:rPr>
              <w:t>N/A</w:t>
            </w:r>
          </w:p>
        </w:tc>
      </w:tr>
      <w:tr>
        <w:tc>
          <w:tcPr>
            <w:tcW w:type="dxa" w:w="1234"/>
          </w:tcPr>
          <w:p>
            <w:r>
              <w:rPr>
                <w:rFonts w:ascii="Calibri" w:hAnsi="Calibri"/>
                <w:sz w:val="22"/>
              </w:rPr>
              <w:t>Operating EPS — Q2 2026</w:t>
            </w:r>
          </w:p>
        </w:tc>
        <w:tc>
          <w:tcPr>
            <w:tcW w:type="dxa" w:w="1234"/>
          </w:tcPr>
          <w:p>
            <w:r>
              <w:rPr>
                <w:rFonts w:ascii="Calibri" w:hAnsi="Calibri"/>
                <w:sz w:val="22"/>
              </w:rPr>
              <w:t>$0.979</w:t>
            </w:r>
          </w:p>
        </w:tc>
        <w:tc>
          <w:tcPr>
            <w:tcW w:type="dxa" w:w="1234"/>
          </w:tcPr>
          <w:p>
            <w:r>
              <w:rPr>
                <w:rFonts w:ascii="Calibri" w:hAnsi="Calibri"/>
                <w:sz w:val="22"/>
              </w:rPr>
              <w:t>$0.959</w:t>
            </w:r>
          </w:p>
        </w:tc>
        <w:tc>
          <w:tcPr>
            <w:tcW w:type="dxa" w:w="1234"/>
          </w:tcPr>
          <w:p>
            <w:r>
              <w:rPr>
                <w:rFonts w:ascii="Calibri" w:hAnsi="Calibri"/>
                <w:sz w:val="22"/>
              </w:rPr>
              <w:t>-2.0%</w:t>
            </w:r>
          </w:p>
        </w:tc>
        <w:tc>
          <w:tcPr>
            <w:tcW w:type="dxa" w:w="1234"/>
          </w:tcPr>
          <w:p>
            <w:r>
              <w:rPr>
                <w:rFonts w:ascii="Calibri" w:hAnsi="Calibri"/>
                <w:sz w:val="22"/>
              </w:rPr>
              <w:t>No specific Q2 guidance</w:t>
            </w:r>
          </w:p>
        </w:tc>
        <w:tc>
          <w:tcPr>
            <w:tcW w:type="dxa" w:w="1234"/>
          </w:tcPr>
          <w:p>
            <w:r>
              <w:rPr>
                <w:rFonts w:ascii="Calibri" w:hAnsi="Calibri"/>
                <w:sz w:val="22"/>
              </w:rPr>
              <w:t>No change</w:t>
            </w:r>
          </w:p>
        </w:tc>
        <w:tc>
          <w:tcPr>
            <w:tcW w:type="dxa" w:w="1234"/>
          </w:tcPr>
          <w:p>
            <w:r>
              <w:rPr>
                <w:rFonts w:ascii="Calibri" w:hAnsi="Calibri"/>
                <w:sz w:val="22"/>
              </w:rPr>
              <w:t>N/A</w:t>
            </w:r>
          </w:p>
        </w:tc>
      </w:tr>
      <w:tr>
        <w:tc>
          <w:tcPr>
            <w:tcW w:type="dxa" w:w="1234"/>
          </w:tcPr>
          <w:p>
            <w:r>
              <w:rPr>
                <w:rFonts w:ascii="Calibri" w:hAnsi="Calibri"/>
                <w:sz w:val="22"/>
              </w:rPr>
              <w:t>Operating EPS — FY2026</w:t>
            </w:r>
          </w:p>
        </w:tc>
        <w:tc>
          <w:tcPr>
            <w:tcW w:type="dxa" w:w="1234"/>
          </w:tcPr>
          <w:p>
            <w:r>
              <w:rPr>
                <w:rFonts w:ascii="Calibri" w:hAnsi="Calibri"/>
                <w:sz w:val="22"/>
              </w:rPr>
              <w:t>$3.544</w:t>
            </w:r>
          </w:p>
        </w:tc>
        <w:tc>
          <w:tcPr>
            <w:tcW w:type="dxa" w:w="1234"/>
          </w:tcPr>
          <w:p>
            <w:r>
              <w:rPr>
                <w:rFonts w:ascii="Calibri" w:hAnsi="Calibri"/>
                <w:sz w:val="22"/>
              </w:rPr>
              <w:t>$3.469</w:t>
            </w:r>
          </w:p>
        </w:tc>
        <w:tc>
          <w:tcPr>
            <w:tcW w:type="dxa" w:w="1234"/>
          </w:tcPr>
          <w:p>
            <w:r>
              <w:rPr>
                <w:rFonts w:ascii="Calibri" w:hAnsi="Calibri"/>
                <w:sz w:val="22"/>
              </w:rPr>
              <w:t>-2.1%</w:t>
            </w:r>
          </w:p>
        </w:tc>
        <w:tc>
          <w:tcPr>
            <w:tcW w:type="dxa" w:w="1234"/>
          </w:tcPr>
          <w:p>
            <w:r>
              <w:rPr>
                <w:rFonts w:ascii="Calibri" w:hAnsi="Calibri"/>
                <w:sz w:val="22"/>
              </w:rPr>
              <w:t>No specific FY guidance</w:t>
            </w:r>
          </w:p>
        </w:tc>
        <w:tc>
          <w:tcPr>
            <w:tcW w:type="dxa" w:w="1234"/>
          </w:tcPr>
          <w:p>
            <w:r>
              <w:rPr>
                <w:rFonts w:ascii="Calibri" w:hAnsi="Calibri"/>
                <w:sz w:val="22"/>
              </w:rPr>
              <w:t>No change</w:t>
            </w:r>
          </w:p>
        </w:tc>
        <w:tc>
          <w:tcPr>
            <w:tcW w:type="dxa" w:w="1234"/>
          </w:tcPr>
          <w:p>
            <w:r>
              <w:rPr>
                <w:rFonts w:ascii="Calibri" w:hAnsi="Calibri"/>
                <w:sz w:val="22"/>
              </w:rPr>
              <w:t>N/A</w:t>
            </w:r>
          </w:p>
        </w:tc>
      </w:tr>
      <w:tr>
        <w:tc>
          <w:tcPr>
            <w:tcW w:type="dxa" w:w="1234"/>
          </w:tcPr>
          <w:p>
            <w:r>
              <w:rPr>
                <w:rFonts w:ascii="Calibri" w:hAnsi="Calibri"/>
                <w:sz w:val="22"/>
              </w:rPr>
              <w:t>Broadband Net Adds — Q2 2026</w:t>
            </w:r>
          </w:p>
        </w:tc>
        <w:tc>
          <w:tcPr>
            <w:tcW w:type="dxa" w:w="1234"/>
          </w:tcPr>
          <w:p>
            <w:r>
              <w:rPr>
                <w:rFonts w:ascii="Calibri" w:hAnsi="Calibri"/>
                <w:sz w:val="22"/>
              </w:rPr>
              <w:t>-161.7K</w:t>
            </w:r>
          </w:p>
        </w:tc>
        <w:tc>
          <w:tcPr>
            <w:tcW w:type="dxa" w:w="1234"/>
          </w:tcPr>
          <w:p>
            <w:r>
              <w:rPr>
                <w:rFonts w:ascii="Calibri" w:hAnsi="Calibri"/>
                <w:sz w:val="22"/>
              </w:rPr>
              <w:t>-165.0K</w:t>
            </w:r>
          </w:p>
        </w:tc>
        <w:tc>
          <w:tcPr>
            <w:tcW w:type="dxa" w:w="1234"/>
          </w:tcPr>
          <w:p>
            <w:r>
              <w:rPr>
                <w:rFonts w:ascii="Calibri" w:hAnsi="Calibri"/>
                <w:sz w:val="22"/>
              </w:rPr>
              <w:t>-2.0%</w:t>
            </w:r>
          </w:p>
        </w:tc>
        <w:tc>
          <w:tcPr>
            <w:tcW w:type="dxa" w:w="1234"/>
          </w:tcPr>
          <w:p>
            <w:r>
              <w:rPr>
                <w:rFonts w:ascii="Calibri" w:hAnsi="Calibri"/>
                <w:sz w:val="22"/>
              </w:rPr>
              <w:t>YoY improvement for FY2026; Q2 worse than Q1 (Legendary Feb effect)</w:t>
            </w:r>
          </w:p>
        </w:tc>
        <w:tc>
          <w:tcPr>
            <w:tcW w:type="dxa" w:w="1234"/>
          </w:tcPr>
          <w:p>
            <w:r>
              <w:rPr>
                <w:rFonts w:ascii="Calibri" w:hAnsi="Calibri"/>
                <w:sz w:val="22"/>
              </w:rPr>
              <w:t>Unchanged</w:t>
            </w:r>
          </w:p>
        </w:tc>
        <w:tc>
          <w:tcPr>
            <w:tcW w:type="dxa" w:w="1234"/>
          </w:tcPr>
          <w:p>
            <w:r>
              <w:rPr>
                <w:rFonts w:ascii="Calibri" w:hAnsi="Calibri"/>
                <w:sz w:val="22"/>
              </w:rPr>
              <w:t>In line</w:t>
            </w:r>
          </w:p>
        </w:tc>
      </w:tr>
      <w:tr>
        <w:tc>
          <w:tcPr>
            <w:tcW w:type="dxa" w:w="1234"/>
          </w:tcPr>
          <w:p>
            <w:r>
              <w:rPr>
                <w:rFonts w:ascii="Calibri" w:hAnsi="Calibri"/>
                <w:sz w:val="22"/>
              </w:rPr>
              <w:t>Broadband Net Adds — FY2026</w:t>
            </w:r>
          </w:p>
        </w:tc>
        <w:tc>
          <w:tcPr>
            <w:tcW w:type="dxa" w:w="1234"/>
          </w:tcPr>
          <w:p>
            <w:r>
              <w:rPr>
                <w:rFonts w:ascii="Calibri" w:hAnsi="Calibri"/>
                <w:sz w:val="22"/>
              </w:rPr>
              <w:t>-434.1K</w:t>
            </w:r>
          </w:p>
        </w:tc>
        <w:tc>
          <w:tcPr>
            <w:tcW w:type="dxa" w:w="1234"/>
          </w:tcPr>
          <w:p>
            <w:r>
              <w:rPr>
                <w:rFonts w:ascii="Calibri" w:hAnsi="Calibri"/>
                <w:sz w:val="22"/>
              </w:rPr>
              <w:t>-446.3K</w:t>
            </w:r>
          </w:p>
        </w:tc>
        <w:tc>
          <w:tcPr>
            <w:tcW w:type="dxa" w:w="1234"/>
          </w:tcPr>
          <w:p>
            <w:r>
              <w:rPr>
                <w:rFonts w:ascii="Calibri" w:hAnsi="Calibri"/>
                <w:sz w:val="22"/>
              </w:rPr>
              <w:t>-2.8%</w:t>
            </w:r>
          </w:p>
        </w:tc>
        <w:tc>
          <w:tcPr>
            <w:tcW w:type="dxa" w:w="1234"/>
          </w:tcPr>
          <w:p>
            <w:r>
              <w:rPr>
                <w:rFonts w:ascii="Calibri" w:hAnsi="Calibri"/>
                <w:sz w:val="22"/>
              </w:rPr>
              <w:t>YoY improvement vs. FY2025 (-665K)</w:t>
            </w:r>
          </w:p>
        </w:tc>
        <w:tc>
          <w:tcPr>
            <w:tcW w:type="dxa" w:w="1234"/>
          </w:tcPr>
          <w:p>
            <w:r>
              <w:rPr>
                <w:rFonts w:ascii="Calibri" w:hAnsi="Calibri"/>
                <w:sz w:val="22"/>
              </w:rPr>
              <w:t>Unchanged</w:t>
            </w:r>
          </w:p>
        </w:tc>
        <w:tc>
          <w:tcPr>
            <w:tcW w:type="dxa" w:w="1234"/>
          </w:tcPr>
          <w:p>
            <w:r>
              <w:rPr>
                <w:rFonts w:ascii="Calibri" w:hAnsi="Calibri"/>
                <w:sz w:val="22"/>
              </w:rPr>
              <w:t>In line</w:t>
            </w:r>
          </w:p>
        </w:tc>
      </w:tr>
      <w:tr>
        <w:tc>
          <w:tcPr>
            <w:tcW w:type="dxa" w:w="1234"/>
          </w:tcPr>
          <w:p>
            <w:r>
              <w:rPr>
                <w:rFonts w:ascii="Calibri" w:hAnsi="Calibri"/>
                <w:sz w:val="22"/>
              </w:rPr>
              <w:t>Peacock EBITDA — Q2 2026</w:t>
            </w:r>
          </w:p>
        </w:tc>
        <w:tc>
          <w:tcPr>
            <w:tcW w:type="dxa" w:w="1234"/>
          </w:tcPr>
          <w:p>
            <w:r>
              <w:rPr>
                <w:rFonts w:ascii="Calibri" w:hAnsi="Calibri"/>
                <w:sz w:val="22"/>
              </w:rPr>
              <w:t>+$6.5M</w:t>
            </w:r>
          </w:p>
        </w:tc>
        <w:tc>
          <w:tcPr>
            <w:tcW w:type="dxa" w:w="1234"/>
          </w:tcPr>
          <w:p>
            <w:r>
              <w:rPr>
                <w:rFonts w:ascii="Calibri" w:hAnsi="Calibri"/>
                <w:sz w:val="22"/>
              </w:rPr>
              <w:t>+$27.0M</w:t>
            </w:r>
          </w:p>
        </w:tc>
        <w:tc>
          <w:tcPr>
            <w:tcW w:type="dxa" w:w="1234"/>
          </w:tcPr>
          <w:p>
            <w:r>
              <w:rPr>
                <w:rFonts w:ascii="Calibri" w:hAnsi="Calibri"/>
                <w:sz w:val="22"/>
              </w:rPr>
              <w:t>+315%</w:t>
            </w:r>
          </w:p>
        </w:tc>
        <w:tc>
          <w:tcPr>
            <w:tcW w:type="dxa" w:w="1234"/>
          </w:tcPr>
          <w:p>
            <w:r>
              <w:rPr>
                <w:rFonts w:ascii="Calibri" w:hAnsi="Calibri"/>
                <w:sz w:val="22"/>
              </w:rPr>
              <w:t>"Approaching profitability" in Q2</w:t>
            </w:r>
          </w:p>
        </w:tc>
        <w:tc>
          <w:tcPr>
            <w:tcW w:type="dxa" w:w="1234"/>
          </w:tcPr>
          <w:p>
            <w:r>
              <w:rPr>
                <w:rFonts w:ascii="Calibri" w:hAnsi="Calibri"/>
                <w:sz w:val="22"/>
              </w:rPr>
              <w:t>"Will be profitable in Q2" (Evercore, June 2)</w:t>
            </w:r>
          </w:p>
        </w:tc>
        <w:tc>
          <w:tcPr>
            <w:tcW w:type="dxa" w:w="1234"/>
          </w:tcPr>
          <w:p>
            <w:r>
              <w:rPr>
                <w:rFonts w:ascii="Calibri" w:hAnsi="Calibri"/>
                <w:sz w:val="22"/>
              </w:rPr>
              <w:t>Consensus in line with upgraded guidance</w:t>
            </w:r>
          </w:p>
        </w:tc>
      </w:tr>
      <w:tr>
        <w:tc>
          <w:tcPr>
            <w:tcW w:type="dxa" w:w="1234"/>
          </w:tcPr>
          <w:p>
            <w:r>
              <w:rPr>
                <w:rFonts w:ascii="Calibri" w:hAnsi="Calibri"/>
                <w:sz w:val="22"/>
              </w:rPr>
              <w:t>Wireless Net Adds — Q2 2026</w:t>
            </w:r>
          </w:p>
        </w:tc>
        <w:tc>
          <w:tcPr>
            <w:tcW w:type="dxa" w:w="1234"/>
          </w:tcPr>
          <w:p>
            <w:r>
              <w:rPr>
                <w:rFonts w:ascii="Calibri" w:hAnsi="Calibri"/>
                <w:sz w:val="22"/>
              </w:rPr>
              <w:t>+395.0K</w:t>
            </w:r>
          </w:p>
        </w:tc>
        <w:tc>
          <w:tcPr>
            <w:tcW w:type="dxa" w:w="1234"/>
          </w:tcPr>
          <w:p>
            <w:r>
              <w:rPr>
                <w:rFonts w:ascii="Calibri" w:hAnsi="Calibri"/>
                <w:sz w:val="22"/>
              </w:rPr>
              <w:t>+394.8K</w:t>
            </w:r>
          </w:p>
        </w:tc>
        <w:tc>
          <w:tcPr>
            <w:tcW w:type="dxa" w:w="1234"/>
          </w:tcPr>
          <w:p>
            <w:r>
              <w:rPr>
                <w:rFonts w:ascii="Calibri" w:hAnsi="Calibri"/>
                <w:sz w:val="22"/>
              </w:rPr>
              <w:t>-0.1%</w:t>
            </w:r>
          </w:p>
        </w:tc>
        <w:tc>
          <w:tcPr>
            <w:tcW w:type="dxa" w:w="1234"/>
          </w:tcPr>
          <w:p>
            <w:r>
              <w:rPr>
                <w:rFonts w:ascii="Calibri" w:hAnsi="Calibri"/>
                <w:sz w:val="22"/>
              </w:rPr>
              <w:t>Continued strong growth; #1 priority</w:t>
            </w:r>
          </w:p>
        </w:tc>
        <w:tc>
          <w:tcPr>
            <w:tcW w:type="dxa" w:w="1234"/>
          </w:tcPr>
          <w:p>
            <w:r>
              <w:rPr>
                <w:rFonts w:ascii="Calibri" w:hAnsi="Calibri"/>
                <w:sz w:val="22"/>
              </w:rPr>
              <w:t>Unchanged</w:t>
            </w:r>
          </w:p>
        </w:tc>
        <w:tc>
          <w:tcPr>
            <w:tcW w:type="dxa" w:w="1234"/>
          </w:tcPr>
          <w:p>
            <w:r>
              <w:rPr>
                <w:rFonts w:ascii="Calibri" w:hAnsi="Calibri"/>
                <w:sz w:val="22"/>
              </w:rPr>
              <w:t>In line</w:t>
            </w:r>
          </w:p>
        </w:tc>
      </w:tr>
      <w:tr>
        <w:tc>
          <w:tcPr>
            <w:tcW w:type="dxa" w:w="1234"/>
          </w:tcPr>
          <w:p>
            <w:r>
              <w:rPr>
                <w:rFonts w:ascii="Calibri" w:hAnsi="Calibri"/>
                <w:sz w:val="22"/>
              </w:rPr>
              <w:t>Adjusted EBITDA — FY2026</w:t>
            </w:r>
          </w:p>
        </w:tc>
        <w:tc>
          <w:tcPr>
            <w:tcW w:type="dxa" w:w="1234"/>
          </w:tcPr>
          <w:p>
            <w:r>
              <w:rPr>
                <w:rFonts w:ascii="Calibri" w:hAnsi="Calibri"/>
                <w:sz w:val="22"/>
              </w:rPr>
              <w:t>$33.49B</w:t>
            </w:r>
          </w:p>
        </w:tc>
        <w:tc>
          <w:tcPr>
            <w:tcW w:type="dxa" w:w="1234"/>
          </w:tcPr>
          <w:p>
            <w:r>
              <w:rPr>
                <w:rFonts w:ascii="Calibri" w:hAnsi="Calibri"/>
                <w:sz w:val="22"/>
              </w:rPr>
              <w:t>$33.50B</w:t>
            </w:r>
          </w:p>
        </w:tc>
        <w:tc>
          <w:tcPr>
            <w:tcW w:type="dxa" w:w="1234"/>
          </w:tcPr>
          <w:p>
            <w:r>
              <w:rPr>
                <w:rFonts w:ascii="Calibri" w:hAnsi="Calibri"/>
                <w:sz w:val="22"/>
              </w:rPr>
              <w:t>+0.0%</w:t>
            </w:r>
          </w:p>
        </w:tc>
        <w:tc>
          <w:tcPr>
            <w:tcW w:type="dxa" w:w="1234"/>
          </w:tcPr>
          <w:p>
            <w:r>
              <w:rPr>
                <w:rFonts w:ascii="Calibri" w:hAnsi="Calibri"/>
                <w:sz w:val="22"/>
              </w:rPr>
              <w:t>No specific FY guidance</w:t>
            </w:r>
          </w:p>
        </w:tc>
        <w:tc>
          <w:tcPr>
            <w:tcW w:type="dxa" w:w="1234"/>
          </w:tcPr>
          <w:p>
            <w:r>
              <w:rPr>
                <w:rFonts w:ascii="Calibri" w:hAnsi="Calibri"/>
                <w:sz w:val="22"/>
              </w:rPr>
              <w:t>No change</w:t>
            </w:r>
          </w:p>
        </w:tc>
        <w:tc>
          <w:tcPr>
            <w:tcW w:type="dxa" w:w="1234"/>
          </w:tcPr>
          <w:p>
            <w:r>
              <w:rPr>
                <w:rFonts w:ascii="Calibri" w:hAnsi="Calibri"/>
                <w:sz w:val="22"/>
              </w:rPr>
              <w:t>N/A</w:t>
            </w:r>
          </w:p>
        </w:tc>
      </w:tr>
    </w:tbl>
    <w:p>
      <w:r>
        <w:rPr>
          <w:rFonts w:ascii="Calibri" w:hAnsi="Calibri"/>
          <w:i/>
          <w:color w:val="525866"/>
          <w:sz w:val="22"/>
        </w:rPr>
        <w:t>Source: Visible Alpha Consensus and Actuals Data. Post-earnings baseline as of April 28, 2026 (5 trading days after Q1 2026 earnings on April 23, 2026).</w:t>
      </w:r>
    </w:p>
    <w:p>
      <w:r>
        <w:rPr>
          <w:rFonts w:ascii="Calibri" w:hAnsi="Calibri"/>
          <w:color w:val="525866"/>
          <w:sz w:val="22"/>
        </w:rPr>
        <w:t>Estimates are tracking guidance closely across all major KPIs, with the notable exception of Peacock EBITDA where the consensus has moved sharply higher following management's definitive profitability confirmation. The modest ~2% drift lower in EPS estimates reflects ongoing investment cycle headwinds rather than any fundamental deterioration in the business outlook.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CMCSA has dramatically underperformed since Q1 earnings — down ~26% vs. SPY +6% and XLC -7% — driven almost entirely by </w:t>
      </w:r>
      <w:r>
        <w:rPr>
          <w:rFonts w:ascii="Calibri" w:hAnsi="Calibri"/>
          <w:b/>
          <w:color w:val="525866"/>
          <w:sz w:val="22"/>
        </w:rPr>
        <w:t>multiple compression and structural uncertainty</w:t>
      </w:r>
      <w:r>
        <w:rPr>
          <w:rFonts w:ascii="Calibri" w:hAnsi="Calibri"/>
          <w:color w:val="525866"/>
          <w:sz w:val="22"/>
        </w:rPr>
        <w:t xml:space="preserve"> around the NBCU spin-off, not estimate revisions (which have been nearly flat). The stock is not pricing in a beat.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CMCSA vs. XLC (Communication Services ETF) vs. S&amp;P 500 (SPY) — Indexed to 100 at Q1 2026 Earnings (Apr 23, 2026). Source: Stock Price Data.</w:t>
      </w:r>
    </w:p>
    <w:p>
      <w:r>
        <w:rPr>
          <w:rFonts w:ascii="Calibri" w:hAnsi="Calibri"/>
          <w:color w:val="525866"/>
          <w:sz w:val="22"/>
        </w:rPr>
        <w:t xml:space="preserve">CMCSA closed at $23.52 on July 22, 2026, down from $31.64 at the Q1 2026 earnings close — a decline of $8.12 (-25.7%) since the print. Over the same period, the S&amp;P 500 (SPY) gained +5.5% and the XLC Communication Services ETF declined -7.0%, making CMCSA a significant sector underperformer. The stock's decline is not explained by estimate revisions, which have been nearly flat (FY2026 EPS down only ~2%), pointing squarely to </w:t>
      </w:r>
      <w:r>
        <w:rPr>
          <w:rFonts w:ascii="Calibri" w:hAnsi="Calibri"/>
          <w:b/>
          <w:color w:val="525866"/>
          <w:sz w:val="22"/>
        </w:rPr>
        <w:t>multiple compression</w:t>
      </w:r>
      <w:r>
        <w:rPr>
          <w:rFonts w:ascii="Calibri" w:hAnsi="Calibri"/>
          <w:color w:val="525866"/>
          <w:sz w:val="22"/>
        </w:rPr>
        <w:t xml:space="preserve"> as the driver. Three key events marked the period: (1) the MoffettNathanson conference (May 14) where management reiterated the broadband investment cycle narrative without new catalysts; (2) the Evercore TMT conference (June 2) where Peacock profitability was confirmed for Q2 — a positive that was offset by acknowledgment of emerging domestic parks softness; and (3) the </w:t>
      </w:r>
      <w:r>
        <w:rPr>
          <w:rFonts w:ascii="Calibri" w:hAnsi="Calibri"/>
          <w:b/>
          <w:color w:val="525866"/>
          <w:sz w:val="22"/>
        </w:rPr>
        <w:t>NBCU spin-off announcement (June 29)</w:t>
      </w:r>
      <w:r>
        <w:rPr>
          <w:rFonts w:ascii="Calibri" w:hAnsi="Calibri"/>
          <w:color w:val="525866"/>
          <w:sz w:val="22"/>
        </w:rPr>
        <w:t xml:space="preserve"> which triggered a sharp leg lower as investors grappled with spin-off execution risk, capital structure uncertainty, and the loss of NBCU's earnings diversification. The stock now trades at a forward P/E in the mid-single digits on RemainCo estimates, implying the market is pricing in significant structural risk to the cable business. Source: Stock Price Data.</w:t>
      </w:r>
    </w:p>
    <w:p>
      <w:r>
        <w:br w:type="page"/>
      </w:r>
    </w:p>
    <w:p>
      <w:pPr>
        <w:pStyle w:val="Heading2"/>
      </w:pPr>
      <w:r>
        <w:rPr>
          <w:rFonts w:ascii="Calibri" w:hAnsi="Calibri"/>
          <w:b/>
          <w:color w:val="3B4259"/>
          <w:sz w:val="28"/>
        </w:rPr>
        <w:t>6. Peer Commentaries — Read-Through Analysis</w:t>
      </w:r>
    </w:p>
    <w:p>
      <w:r>
        <w:rPr>
          <w:rFonts w:ascii="Calibri" w:hAnsi="Calibri"/>
          <w:b/>
          <w:color w:val="525866"/>
          <w:sz w:val="22"/>
        </w:rPr>
        <w:t xml:space="preserve">Key Takeaway: </w:t>
      </w:r>
      <w:r>
        <w:rPr>
          <w:rFonts w:ascii="Calibri" w:hAnsi="Calibri"/>
          <w:color w:val="525866"/>
          <w:sz w:val="22"/>
        </w:rPr>
        <w:t>Peer commentary from Q2 2026 reporting season is broadly constructive for CMCSA's connectivity business — AT&amp;T's record fiber net adds and aggressive convergence push confirm the competitive intensity, while T-Mobile's FWA strength signals continued fixed wireless pressure; Netflix's Q2 beat and advertising momentum are a positive read-through for Peacock's ad-supported model.</w:t>
      </w:r>
    </w:p>
    <w:p>
      <w:r>
        <w:rPr>
          <w:rFonts w:ascii="Calibri" w:hAnsi="Calibri"/>
          <w:i/>
          <w:color w:val="525866"/>
          <w:sz w:val="22"/>
        </w:rPr>
        <w:t>Note: All peer commentaries below are from the current reporting period (Q2 2026 earnings calls or post-Q1 2026 investor conferences), focused on trends relevant to Comcast's Q2 2026 quarter.</w:t>
      </w:r>
    </w:p>
    <w:p>
      <w:pPr>
        <w:pStyle w:val="Heading3"/>
      </w:pPr>
      <w:r>
        <w:rPr>
          <w:rFonts w:ascii="Calibri" w:hAnsi="Calibri"/>
          <w:b/>
          <w:color w:val="3B4259"/>
          <w:sz w:val="24"/>
        </w:rPr>
        <w:t>AT&amp;T (T) — Q2 2026 Earnings Call (July 22, 2026)</w:t>
      </w:r>
    </w:p>
    <w:p>
      <w:r>
        <w:rPr>
          <w:rFonts w:ascii="Calibri" w:hAnsi="Calibri"/>
          <w:b/>
          <w:color w:val="525866"/>
          <w:sz w:val="22"/>
        </w:rPr>
        <w:t xml:space="preserve">Read-Through Signal: </w:t>
      </w:r>
      <w:r>
        <w:rPr>
          <w:rFonts w:ascii="Calibri" w:hAnsi="Calibri"/>
          <w:b/>
          <w:color w:val="525866"/>
          <w:sz w:val="22"/>
        </w:rPr>
        <w:t>Negative on broadband competitive intensity; mixed on wireless; positive on convergence as a long-term strategy.</w:t>
      </w:r>
    </w:p>
    <w:p>
      <w:pPr>
        <w:pStyle w:val="ListBullet"/>
        <w:ind w:left="360" w:hanging="360"/>
      </w:pPr>
      <w:r>
        <w:rPr>
          <w:rFonts w:ascii="Calibri" w:hAnsi="Calibri"/>
          <w:b/>
          <w:color w:val="525866"/>
          <w:sz w:val="22"/>
        </w:rPr>
        <w:t xml:space="preserve">Fiber acceleration intensifying: </w:t>
      </w:r>
      <w:r>
        <w:rPr>
          <w:rFonts w:ascii="Calibri" w:hAnsi="Calibri"/>
          <w:color w:val="525866"/>
          <w:sz w:val="22"/>
        </w:rPr>
        <w:t>AT&amp;T reported its "best-ever second quarter for AT&amp;T fiber net adds" and a "record quarter for combined fiber and fixed wireless net adds," adding over 1 million fiber locations in Q2 alone. 2026 is projected to be AT&amp;T's largest year ever for fiber expansion, targeting 8 million new locations (including 4M+ from Lumen). This is a direct negative read-through for Comcast broadband — AT&amp;T is accelerating into Comcast's footprint with a product that competes directly on speed and reliability.</w:t>
      </w:r>
    </w:p>
    <w:p>
      <w:pPr>
        <w:pStyle w:val="ListBullet"/>
        <w:ind w:left="360" w:hanging="360"/>
      </w:pPr>
      <w:r>
        <w:rPr>
          <w:rFonts w:ascii="Calibri" w:hAnsi="Calibri"/>
          <w:b/>
          <w:color w:val="525866"/>
          <w:sz w:val="22"/>
        </w:rPr>
        <w:t xml:space="preserve">Convergence gaining traction at AT&amp;T: </w:t>
      </w:r>
      <w:r>
        <w:rPr>
          <w:rFonts w:ascii="Calibri" w:hAnsi="Calibri"/>
          <w:color w:val="525866"/>
          <w:sz w:val="22"/>
        </w:rPr>
        <w:t>42.5% of AT&amp;T's advanced home internet customers also have a postpaid wireless account (45% excluding Lumen footprint), and AT&amp;T added 147,000 consumer postpaid wireless accounts in Q2 — its best result in over three years. AT&amp;T explicitly stated it will be "very, very aggressive" on fiber pricing across all price points. This validates Comcast's own convergence thesis but also confirms the competitive intensity of the bundle war.</w:t>
      </w:r>
    </w:p>
    <w:p>
      <w:pPr>
        <w:pStyle w:val="ListBullet"/>
        <w:ind w:left="360" w:hanging="360"/>
      </w:pPr>
      <w:r>
        <w:rPr>
          <w:rFonts w:ascii="Calibri" w:hAnsi="Calibri"/>
          <w:b/>
          <w:color w:val="525866"/>
          <w:sz w:val="22"/>
        </w:rPr>
        <w:t xml:space="preserve">Fiber ARPU pressure: </w:t>
      </w:r>
      <w:r>
        <w:rPr>
          <w:rFonts w:ascii="Calibri" w:hAnsi="Calibri"/>
          <w:color w:val="525866"/>
          <w:sz w:val="22"/>
        </w:rPr>
        <w:t>AT&amp;T's fiber ARPU declined 1.3% YoY (flat ex-Lumen), reflecting the cost of convergence discounts. This is a read-through for Comcast's own broadband ARPU pressure — the industry is structurally trading ARPU for churn reduction and bundle attachment, consistent with Comcast's own guidance for Q2 ARPU headwinds.</w:t>
      </w:r>
    </w:p>
    <w:p>
      <w:pPr>
        <w:pStyle w:val="ListBullet"/>
        <w:ind w:left="360" w:hanging="360"/>
      </w:pPr>
      <w:r>
        <w:rPr>
          <w:rFonts w:ascii="Calibri" w:hAnsi="Calibri"/>
          <w:b/>
          <w:color w:val="525866"/>
          <w:sz w:val="22"/>
        </w:rPr>
        <w:t xml:space="preserve">Consumer spending: </w:t>
      </w:r>
      <w:r>
        <w:rPr>
          <w:rFonts w:ascii="Calibri" w:hAnsi="Calibri"/>
          <w:color w:val="525866"/>
          <w:sz w:val="22"/>
        </w:rPr>
        <w:t>AT&amp;T noted "a little bit of suppression right now in device switching" and expects device costs to rise as Apple and memory costs increase, which could suppress demand and help churn. This is a mild positive for wireless churn across the industry, including Comcast's Xfinity Mobile.</w:t>
      </w:r>
    </w:p>
    <w:p>
      <w:pPr>
        <w:pStyle w:val="ListBullet"/>
        <w:ind w:left="360" w:hanging="360"/>
      </w:pPr>
      <w:r>
        <w:rPr>
          <w:rFonts w:ascii="Calibri" w:hAnsi="Calibri"/>
          <w:b/>
          <w:color w:val="525866"/>
          <w:sz w:val="22"/>
        </w:rPr>
        <w:t xml:space="preserve">AI-driven network demand: </w:t>
      </w:r>
      <w:r>
        <w:rPr>
          <w:rFonts w:ascii="Calibri" w:hAnsi="Calibri"/>
          <w:color w:val="525866"/>
          <w:sz w:val="22"/>
        </w:rPr>
        <w:t>AT&amp;T highlighted that "the rise of Agentic AI is fundamentally reshaping network traffic" with AI agents generating up to 450% more traffic per task than a human, projecting ~9x enterprise and ~7x consumer traffic growth by 2035. This is a long-term positive for broadband demand and validates Comcast's network upgrade investment thesis.</w:t>
      </w:r>
    </w:p>
    <w:p>
      <w:pPr>
        <w:pStyle w:val="Heading3"/>
      </w:pPr>
      <w:r>
        <w:rPr>
          <w:rFonts w:ascii="Calibri" w:hAnsi="Calibri"/>
          <w:b/>
          <w:color w:val="3B4259"/>
          <w:sz w:val="24"/>
        </w:rPr>
        <w:t>T-Mobile (TMUS) — Evercore TMT Global Conference (June 2, 2026)</w:t>
      </w:r>
    </w:p>
    <w:p>
      <w:r>
        <w:rPr>
          <w:rFonts w:ascii="Calibri" w:hAnsi="Calibri"/>
          <w:b/>
          <w:color w:val="525866"/>
          <w:sz w:val="22"/>
        </w:rPr>
        <w:t xml:space="preserve">Read-Through Signal: </w:t>
      </w:r>
      <w:r>
        <w:rPr>
          <w:rFonts w:ascii="Calibri" w:hAnsi="Calibri"/>
          <w:b/>
          <w:color w:val="525866"/>
          <w:sz w:val="22"/>
        </w:rPr>
        <w:t>Negative on fixed wireless competition; neutral on wireless market dynamics; positive on satellite competition being overstated.</w:t>
      </w:r>
    </w:p>
    <w:p>
      <w:pPr>
        <w:pStyle w:val="ListBullet"/>
        <w:ind w:left="360" w:hanging="360"/>
      </w:pPr>
      <w:r>
        <w:rPr>
          <w:rFonts w:ascii="Calibri" w:hAnsi="Calibri"/>
          <w:b/>
          <w:color w:val="525866"/>
          <w:sz w:val="22"/>
        </w:rPr>
        <w:t xml:space="preserve">FWA remains a strong competitive force: </w:t>
      </w:r>
      <w:r>
        <w:rPr>
          <w:rFonts w:ascii="Calibri" w:hAnsi="Calibri"/>
          <w:color w:val="525866"/>
          <w:sz w:val="22"/>
        </w:rPr>
        <w:t>T-Mobile grew its 5G broadband product faster in Q1 2026 than a year ago, with total broadband net additions exceeding 500,000 for the quarter. T-Mobile raised its subscriber target to 15 million by 2030 and noted its FWA speeds are 50% faster than the next nearest fixed wireless competitor, with latest-gen routers delivering 400 Mbps over WiFi — described as "effectively fiber lived experience." This is a direct negative read-through for Comcast broadband subscriber trends.</w:t>
      </w:r>
    </w:p>
    <w:p>
      <w:pPr>
        <w:pStyle w:val="ListBullet"/>
        <w:ind w:left="360" w:hanging="360"/>
      </w:pPr>
      <w:r>
        <w:rPr>
          <w:rFonts w:ascii="Calibri" w:hAnsi="Calibri"/>
          <w:b/>
          <w:color w:val="525866"/>
          <w:sz w:val="22"/>
        </w:rPr>
        <w:t xml:space="preserve">Satellite competition overstated: </w:t>
      </w:r>
      <w:r>
        <w:rPr>
          <w:rFonts w:ascii="Calibri" w:hAnsi="Calibri"/>
          <w:color w:val="525866"/>
          <w:sz w:val="22"/>
        </w:rPr>
        <w:t>T-Mobile CFO Peter Osvaldik was emphatic that satellite has "no effective way to compete with a terrestrial network" due to fundamental physics constraints (inverse square law, capacity limitations of ~10 concurrent outdoor users per beam). D2D traffic on T-Mobile's network was only 0.002% of total traffic. This is a positive read-through for Comcast — management's view that satellite is capacity-constrained is validated by the largest FWA operator.</w:t>
      </w:r>
    </w:p>
    <w:p>
      <w:pPr>
        <w:pStyle w:val="ListBullet"/>
        <w:ind w:left="360" w:hanging="360"/>
      </w:pPr>
      <w:r>
        <w:rPr>
          <w:rFonts w:ascii="Calibri" w:hAnsi="Calibri"/>
          <w:b/>
          <w:color w:val="525866"/>
          <w:sz w:val="22"/>
        </w:rPr>
        <w:t xml:space="preserve">Wireless market competitive dynamics: </w:t>
      </w:r>
      <w:r>
        <w:rPr>
          <w:rFonts w:ascii="Calibri" w:hAnsi="Calibri"/>
          <w:color w:val="525866"/>
          <w:sz w:val="22"/>
        </w:rPr>
        <w:t>T-Mobile noted that even in areas where AT&amp;T has fiber and is building it, T-Mobile's share of postpaid continues to grow. T-Mobile chose not to match competitors' "aggressive device-centric promotions" in Q1, deeming them "CLV not attractive." This suggests the wireless market is competitive but not irrational — a constructive backdrop for Comcast's Xfinity Mobile, which competes on price (~half of competitors) rather than device subsidies.</w:t>
      </w:r>
    </w:p>
    <w:p>
      <w:pPr>
        <w:pStyle w:val="ListBullet"/>
        <w:ind w:left="360" w:hanging="360"/>
      </w:pPr>
      <w:r>
        <w:rPr>
          <w:rFonts w:ascii="Calibri" w:hAnsi="Calibri"/>
          <w:b/>
          <w:color w:val="525866"/>
          <w:sz w:val="22"/>
        </w:rPr>
        <w:t xml:space="preserve">ARPA growth trajectory: </w:t>
      </w:r>
      <w:r>
        <w:rPr>
          <w:rFonts w:ascii="Calibri" w:hAnsi="Calibri"/>
          <w:color w:val="525866"/>
          <w:sz w:val="22"/>
        </w:rPr>
        <w:t>T-Mobile guided to ~2% postpaid ARPA growth in Q2 before reaccelerating to 2.5-3% for the full year. 60% of new T-Mobile accounts are on premium plans. This validates the industry trend toward premium plan mix-up, which is consistent with Comcast's own Mobile Plus launch (April 22, 2026) and the 30% premium unlimited uptake.</w:t>
      </w:r>
    </w:p>
    <w:p>
      <w:pPr>
        <w:pStyle w:val="ListBullet"/>
        <w:ind w:left="360" w:hanging="360"/>
      </w:pPr>
      <w:r>
        <w:rPr>
          <w:rFonts w:ascii="Calibri" w:hAnsi="Calibri"/>
          <w:b/>
          <w:color w:val="525866"/>
          <w:sz w:val="22"/>
        </w:rPr>
        <w:t xml:space="preserve">Convergence skepticism: </w:t>
      </w:r>
      <w:r>
        <w:rPr>
          <w:rFonts w:ascii="Calibri" w:hAnsi="Calibri"/>
          <w:color w:val="525866"/>
          <w:sz w:val="22"/>
        </w:rPr>
        <w:t>T-Mobile was notably skeptical of AT&amp;T's convergence strategy, pointing out that AT&amp;T "posted the largest year-over-year increase in postpaid phone churn of anybody in the industry" in Q1 despite touting fiber convergence. This is a nuanced read-through — it suggests convergence benefits may take longer to materialize than bulls expect, which is relevant to Comcast's own convergence ARPA narrative.</w:t>
      </w:r>
    </w:p>
    <w:p>
      <w:pPr>
        <w:pStyle w:val="Heading3"/>
      </w:pPr>
      <w:r>
        <w:rPr>
          <w:rFonts w:ascii="Calibri" w:hAnsi="Calibri"/>
          <w:b/>
          <w:color w:val="3B4259"/>
          <w:sz w:val="24"/>
        </w:rPr>
        <w:t>Netflix (NFLX) — Q2 2026 Earnings Call (July 16, 2026)</w:t>
      </w:r>
    </w:p>
    <w:p>
      <w:r>
        <w:rPr>
          <w:rFonts w:ascii="Calibri" w:hAnsi="Calibri"/>
          <w:b/>
          <w:color w:val="525866"/>
          <w:sz w:val="22"/>
        </w:rPr>
        <w:t xml:space="preserve">Read-Through Signal: </w:t>
      </w:r>
      <w:r>
        <w:rPr>
          <w:rFonts w:ascii="Calibri" w:hAnsi="Calibri"/>
          <w:b/>
          <w:color w:val="525866"/>
          <w:sz w:val="22"/>
        </w:rPr>
        <w:t>Positive for Peacock advertising and streaming monetization; positive for content engagement trends; neutral on subscriber growth.</w:t>
      </w:r>
    </w:p>
    <w:p>
      <w:pPr>
        <w:pStyle w:val="ListBullet"/>
        <w:ind w:left="360" w:hanging="360"/>
      </w:pPr>
      <w:r>
        <w:rPr>
          <w:rFonts w:ascii="Calibri" w:hAnsi="Calibri"/>
          <w:b/>
          <w:color w:val="525866"/>
          <w:sz w:val="22"/>
        </w:rPr>
        <w:t xml:space="preserve">Advertising momentum: </w:t>
      </w:r>
      <w:r>
        <w:rPr>
          <w:rFonts w:ascii="Calibri" w:hAnsi="Calibri"/>
          <w:color w:val="525866"/>
          <w:sz w:val="22"/>
        </w:rPr>
        <w:t>Netflix cited "higher ads revenue" as a primary driver for Q3 revenue guidance and noted the gap between ad-supported ARPU and ad-free ARPU is "narrowing" — framing it as "near-term under-realized revenue growth" and an opportunity. Netflix is expanding demand sources, executing on its own ad tech stack, and adding measurement capabilities. This is a positive read-through for Peacock, which has 80% of subscribers on the ad tier and is entering its first profitable quarter — the industry ad monetization environment appears constructive.</w:t>
      </w:r>
    </w:p>
    <w:p>
      <w:pPr>
        <w:pStyle w:val="ListBullet"/>
        <w:ind w:left="360" w:hanging="360"/>
      </w:pPr>
      <w:r>
        <w:rPr>
          <w:rFonts w:ascii="Calibri" w:hAnsi="Calibri"/>
          <w:b/>
          <w:color w:val="525866"/>
          <w:sz w:val="22"/>
        </w:rPr>
        <w:t xml:space="preserve">Vertical video and gaming as engagement drivers: </w:t>
      </w:r>
      <w:r>
        <w:rPr>
          <w:rFonts w:ascii="Calibri" w:hAnsi="Calibri"/>
          <w:color w:val="525866"/>
          <w:sz w:val="22"/>
        </w:rPr>
        <w:t>Netflix reported "early progress" with vertical clips and video podcasting, noting these formats are "incremental" viewing and "out-indexing on mobile." Monthly active players for cloud games increased 11x since October 2025. This validates Comcast's own Peacock "participatory entertainment platform" strategy — vertical video, gaming (Wheel of Fortune, Jeopardy, Law &amp; Order AI game), and the Bravoverse are all consistent with where Netflix is investing.</w:t>
      </w:r>
    </w:p>
    <w:p>
      <w:pPr>
        <w:pStyle w:val="ListBullet"/>
        <w:ind w:left="360" w:hanging="360"/>
      </w:pPr>
      <w:r>
        <w:rPr>
          <w:rFonts w:ascii="Calibri" w:hAnsi="Calibri"/>
          <w:b/>
          <w:color w:val="525866"/>
          <w:sz w:val="22"/>
        </w:rPr>
        <w:t xml:space="preserve">Live events as subscriber acquisition: </w:t>
      </w:r>
      <w:r>
        <w:rPr>
          <w:rFonts w:ascii="Calibri" w:hAnsi="Calibri"/>
          <w:color w:val="525866"/>
          <w:sz w:val="22"/>
        </w:rPr>
        <w:t>Netflix highlighted the World Baseball Classic in Japan as its "most watched program ever in Japan" and the "biggest baseball streaming event ever," driving disproportionate sign-ups. Netflix plans to "continue to build out that global live event calendar." This is a positive read-through for Peacock's sports-anchored strategy — live sports (NBA, NFL, Olympics) remain the most powerful subscriber acquisition tool in streaming.</w:t>
      </w:r>
    </w:p>
    <w:p>
      <w:pPr>
        <w:pStyle w:val="ListBullet"/>
        <w:ind w:left="360" w:hanging="360"/>
      </w:pPr>
      <w:r>
        <w:rPr>
          <w:rFonts w:ascii="Calibri" w:hAnsi="Calibri"/>
          <w:b/>
          <w:color w:val="525866"/>
          <w:sz w:val="22"/>
        </w:rPr>
        <w:t xml:space="preserve">Price increases going well: </w:t>
      </w:r>
      <w:r>
        <w:rPr>
          <w:rFonts w:ascii="Calibri" w:hAnsi="Calibri"/>
          <w:color w:val="525866"/>
          <w:sz w:val="22"/>
        </w:rPr>
        <w:t>Netflix's first-half price changes in the US, Mexico, and Spain "have gone well" and are "consistent with prior price changes" with "no real changes in performance." This is a positive read-through for Peacock's pricing power — management at the Evercore conference noted Peacock is "undervalued" at its current retail price point vs. competitors at 2-3x the price, suggesting room for future rate increases.</w:t>
      </w:r>
    </w:p>
    <w:p>
      <w:pPr>
        <w:pStyle w:val="ListBullet"/>
        <w:ind w:left="360" w:hanging="360"/>
      </w:pPr>
      <w:r>
        <w:rPr>
          <w:rFonts w:ascii="Calibri" w:hAnsi="Calibri"/>
          <w:b/>
          <w:color w:val="525866"/>
          <w:sz w:val="22"/>
        </w:rPr>
        <w:t xml:space="preserve">Streaming industry consolidation: </w:t>
      </w:r>
      <w:r>
        <w:rPr>
          <w:rFonts w:ascii="Calibri" w:hAnsi="Calibri"/>
          <w:color w:val="525866"/>
          <w:sz w:val="22"/>
        </w:rPr>
        <w:t>Netflix acknowledged "the industry has been consolidating for over ten years" and remains open to partnerships (citing TF1 in France as an example). This is relevant context for the NBCU spin-off — a standalone NBCUniversal with Peacock will be a more natural M&amp;A or partnership target in a consolidating streaming landscape.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insiders since Q1 earnings — all Form 4 activity consists of routine stock awards (code A) to directors and a gift/disposition (code G) by Brian Roberts. The absence of open-market buying despite a ~26% stock decline is notable but not alarming given the spin-off announcement creates a blackout-like environment for informed insiders.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Baltimore, Thomas J Jr</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transaction</w:t>
            </w:r>
          </w:p>
        </w:tc>
      </w:tr>
      <w:tr>
        <w:tc>
          <w:tcPr>
            <w:tcW w:type="dxa" w:w="1440"/>
          </w:tcPr>
          <w:p>
            <w:r>
              <w:rPr>
                <w:rFonts w:ascii="Calibri" w:hAnsi="Calibri"/>
                <w:sz w:val="22"/>
              </w:rPr>
              <w:t>Brady, Louise F.</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transaction</w:t>
            </w:r>
          </w:p>
        </w:tc>
      </w:tr>
      <w:tr>
        <w:tc>
          <w:tcPr>
            <w:tcW w:type="dxa" w:w="1440"/>
          </w:tcPr>
          <w:p>
            <w:r>
              <w:rPr>
                <w:rFonts w:ascii="Calibri" w:hAnsi="Calibri"/>
                <w:sz w:val="22"/>
              </w:rPr>
              <w:t>Breen, Edward D.</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815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transaction</w:t>
            </w:r>
          </w:p>
        </w:tc>
      </w:tr>
      <w:tr>
        <w:tc>
          <w:tcPr>
            <w:tcW w:type="dxa" w:w="1440"/>
          </w:tcPr>
          <w:p>
            <w:r>
              <w:rPr>
                <w:rFonts w:ascii="Calibri" w:hAnsi="Calibri"/>
                <w:sz w:val="22"/>
              </w:rPr>
              <w:t>Honickman, Jeffrey A.</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1,783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transaction</w:t>
            </w:r>
          </w:p>
        </w:tc>
      </w:tr>
      <w:tr>
        <w:tc>
          <w:tcPr>
            <w:tcW w:type="dxa" w:w="1440"/>
          </w:tcPr>
          <w:p>
            <w:r>
              <w:rPr>
                <w:rFonts w:ascii="Calibri" w:hAnsi="Calibri"/>
                <w:sz w:val="22"/>
              </w:rPr>
              <w:t>Smith, Gordon</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transaction</w:t>
            </w:r>
          </w:p>
        </w:tc>
      </w:tr>
      <w:tr>
        <w:tc>
          <w:tcPr>
            <w:tcW w:type="dxa" w:w="1440"/>
          </w:tcPr>
          <w:p>
            <w:r>
              <w:rPr>
                <w:rFonts w:ascii="Calibri" w:hAnsi="Calibri"/>
                <w:sz w:val="22"/>
              </w:rPr>
              <w:t>Roberts, Brian L.</w:t>
            </w:r>
          </w:p>
        </w:tc>
        <w:tc>
          <w:tcPr>
            <w:tcW w:type="dxa" w:w="1440"/>
          </w:tcPr>
          <w:p>
            <w:r>
              <w:rPr>
                <w:rFonts w:ascii="Calibri" w:hAnsi="Calibri"/>
                <w:sz w:val="22"/>
              </w:rPr>
              <w:t>Chairman &amp; Co-CEO</w:t>
            </w:r>
          </w:p>
        </w:tc>
        <w:tc>
          <w:tcPr>
            <w:tcW w:type="dxa" w:w="1440"/>
          </w:tcPr>
          <w:p>
            <w:r>
              <w:rPr>
                <w:rFonts w:ascii="Calibri" w:hAnsi="Calibri"/>
                <w:sz w:val="22"/>
              </w:rPr>
              <w:t>Gift / Disposition (Code G)</w:t>
            </w:r>
          </w:p>
        </w:tc>
        <w:tc>
          <w:tcPr>
            <w:tcW w:type="dxa" w:w="1440"/>
          </w:tcPr>
          <w:p>
            <w:r>
              <w:rPr>
                <w:rFonts w:ascii="Calibri" w:hAnsi="Calibri"/>
                <w:sz w:val="22"/>
              </w:rPr>
              <w:t>202,500 shares disposed</w:t>
            </w:r>
          </w:p>
        </w:tc>
        <w:tc>
          <w:tcPr>
            <w:tcW w:type="dxa" w:w="1440"/>
          </w:tcPr>
          <w:p>
            <w:r>
              <w:rPr>
                <w:rFonts w:ascii="Calibri" w:hAnsi="Calibri"/>
                <w:sz w:val="22"/>
              </w:rPr>
              <w:t>May 19, 2026</w:t>
            </w:r>
          </w:p>
        </w:tc>
        <w:tc>
          <w:tcPr>
            <w:tcW w:type="dxa" w:w="1440"/>
          </w:tcPr>
          <w:p>
            <w:r>
              <w:rPr>
                <w:rFonts w:ascii="Calibri" w:hAnsi="Calibri"/>
                <w:sz w:val="22"/>
              </w:rPr>
              <w:t>Gift/charitable disposition; not an open-market sale; not a signal of bearish conviction; Roberts retains ~5.7M shares</w:t>
            </w:r>
          </w:p>
        </w:tc>
      </w:tr>
      <w:tr>
        <w:tc>
          <w:tcPr>
            <w:tcW w:type="dxa" w:w="1440"/>
          </w:tcPr>
          <w:p>
            <w:r>
              <w:rPr>
                <w:rFonts w:ascii="Calibri" w:hAnsi="Calibri"/>
                <w:sz w:val="22"/>
              </w:rPr>
              <w:t>Breen, Edward D.</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32,440 shares</w:t>
            </w:r>
          </w:p>
        </w:tc>
        <w:tc>
          <w:tcPr>
            <w:tcW w:type="dxa" w:w="1440"/>
          </w:tcPr>
          <w:p>
            <w:r>
              <w:rPr>
                <w:rFonts w:ascii="Calibri" w:hAnsi="Calibri"/>
                <w:sz w:val="22"/>
              </w:rPr>
              <w:t>May 11, 2026</w:t>
            </w:r>
          </w:p>
        </w:tc>
        <w:tc>
          <w:tcPr>
            <w:tcW w:type="dxa" w:w="1440"/>
          </w:tcPr>
          <w:p>
            <w:r>
              <w:rPr>
                <w:rFonts w:ascii="Calibri" w:hAnsi="Calibri"/>
                <w:sz w:val="22"/>
              </w:rPr>
              <w:t>Routine director equity compensation; not an open-market transaction</w:t>
            </w:r>
          </w:p>
        </w:tc>
      </w:tr>
    </w:tbl>
    <w:p>
      <w:r>
        <w:rPr>
          <w:rFonts w:ascii="Calibri" w:hAnsi="Calibri"/>
          <w:i/>
          <w:color w:val="525866"/>
          <w:sz w:val="22"/>
        </w:rPr>
        <w:t xml:space="preserve">Source: Insider Transaction Data (SEC Form 4 filings). Open-market buys (Code P) and open-market sells (Code S) only: </w:t>
      </w:r>
      <w:r>
        <w:rPr>
          <w:rFonts w:ascii="Calibri" w:hAnsi="Calibri"/>
          <w:b/>
          <w:i/>
          <w:color w:val="525866"/>
          <w:sz w:val="22"/>
        </w:rPr>
        <w:t>None filed in the period April 23 – July 22, 2026.</w:t>
      </w:r>
      <w:r>
        <w:rPr>
          <w:rFonts w:ascii="Calibri" w:hAnsi="Calibri"/>
          <w:i/>
          <w:color w:val="525866"/>
          <w:sz w:val="22"/>
        </w:rPr>
        <w:t xml:space="preserve"> All transactions above are stock awards (Code A) or gifts (Code G), which are not discretionary market signals. The absence of open-market buying by insiders during a ~26% stock decline is notable; however, the June 29 spin-off announcement likely creates informal trading restrictions for senior insiders with material non-public information about the transaction structure.</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(Revenue, Operating EPS, Adjusted EBITDA, Broadband Net Adds, Broadband ARPU, Wireless Net Adds, Peacock Paid Subs, Peacock EBITDA, Theme Parks EBITDA, Free Cash Flow). Point-in-time baseline as of April 28, 2026; current consensus as of July 22,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CMCSA, XLC, and SPY from April 23, 2026 through July 22, 2026. Indexed to 100 at April 23, 2026 close.</w:t>
      </w:r>
    </w:p>
    <w:p>
      <w:pPr>
        <w:pStyle w:val="ListBullet"/>
        <w:ind w:left="360" w:hanging="360"/>
      </w:pPr>
      <w:r>
        <w:rPr>
          <w:rFonts w:ascii="Calibri" w:hAnsi="Calibri"/>
          <w:b/>
          <w:color w:val="525866"/>
          <w:sz w:val="22"/>
        </w:rPr>
        <w:t>Insider Transaction Data (SEC Form 4)</w:t>
      </w:r>
      <w:r>
        <w:rPr>
          <w:rFonts w:ascii="Calibri" w:hAnsi="Calibri"/>
          <w:color w:val="525866"/>
          <w:sz w:val="22"/>
        </w:rPr>
        <w:t xml:space="preserve"> — Form 4 filings for CMCSA insiders, April 23 – July 22, 2026.</w:t>
      </w:r>
    </w:p>
    <w:p>
      <w:pPr>
        <w:pStyle w:val="ListBullet"/>
        <w:ind w:left="360" w:hanging="360"/>
      </w:pPr>
      <w:r>
        <w:rPr>
          <w:rFonts w:ascii="Calibri" w:hAnsi="Calibri"/>
          <w:b/>
          <w:color w:val="525866"/>
          <w:sz w:val="22"/>
        </w:rPr>
        <w:t>CMCSA Evercore TMT Global Conference Transcript</w:t>
      </w:r>
      <w:r>
        <w:rPr>
          <w:rFonts w:ascii="Calibri" w:hAnsi="Calibri"/>
          <w:color w:val="525866"/>
          <w:sz w:val="22"/>
        </w:rPr>
        <w:t xml:space="preserve"> — June 2, 2026. Matt Strauss (NBCUniversal Media CEO) commentary on Peacock profitability, theme parks, and Harmony initiative.</w:t>
      </w:r>
    </w:p>
    <w:p>
      <w:pPr>
        <w:pStyle w:val="ListBullet"/>
        <w:ind w:left="360" w:hanging="360"/>
      </w:pPr>
      <w:r>
        <w:rPr>
          <w:rFonts w:ascii="Calibri" w:hAnsi="Calibri"/>
          <w:b/>
          <w:color w:val="525866"/>
          <w:sz w:val="22"/>
        </w:rPr>
        <w:t>CMCSA MoffettNathanson Conference Transcript</w:t>
      </w:r>
      <w:r>
        <w:rPr>
          <w:rFonts w:ascii="Calibri" w:hAnsi="Calibri"/>
          <w:color w:val="525866"/>
          <w:sz w:val="22"/>
        </w:rPr>
        <w:t xml:space="preserve"> — May 14, 2026. Steve Croney (C&amp;P CEO) commentary on broadband, wireless, and ARPU trends.</w:t>
      </w:r>
    </w:p>
    <w:p>
      <w:pPr>
        <w:pStyle w:val="ListBullet"/>
        <w:ind w:left="360" w:hanging="360"/>
      </w:pPr>
      <w:r>
        <w:rPr>
          <w:rFonts w:ascii="Calibri" w:hAnsi="Calibri"/>
          <w:b/>
          <w:color w:val="525866"/>
          <w:sz w:val="22"/>
        </w:rPr>
        <w:t>CMCSA Press Release / 8-K — NBCU Spin-Off Announcement</w:t>
      </w:r>
      <w:r>
        <w:rPr>
          <w:rFonts w:ascii="Calibri" w:hAnsi="Calibri"/>
          <w:color w:val="525866"/>
          <w:sz w:val="22"/>
        </w:rPr>
        <w:t xml:space="preserve"> — June 29, 2026.</w:t>
      </w:r>
    </w:p>
    <w:p>
      <w:pPr>
        <w:pStyle w:val="ListBullet"/>
        <w:ind w:left="360" w:hanging="360"/>
      </w:pPr>
      <w:r>
        <w:rPr>
          <w:rFonts w:ascii="Calibri" w:hAnsi="Calibri"/>
          <w:b/>
          <w:color w:val="525866"/>
          <w:sz w:val="22"/>
        </w:rPr>
        <w:t>AT&amp;T (T) Q2 2026 Earnings Call Transcript</w:t>
      </w:r>
      <w:r>
        <w:rPr>
          <w:rFonts w:ascii="Calibri" w:hAnsi="Calibri"/>
          <w:color w:val="525866"/>
          <w:sz w:val="22"/>
        </w:rPr>
        <w:t xml:space="preserve"> — July 22, 2026. Peer read-through on fiber competition, convergence, wireless, and consumer spending.</w:t>
      </w:r>
    </w:p>
    <w:p>
      <w:pPr>
        <w:pStyle w:val="ListBullet"/>
        <w:ind w:left="360" w:hanging="360"/>
      </w:pPr>
      <w:r>
        <w:rPr>
          <w:rFonts w:ascii="Calibri" w:hAnsi="Calibri"/>
          <w:b/>
          <w:color w:val="525866"/>
          <w:sz w:val="22"/>
        </w:rPr>
        <w:t>T-Mobile (TMUS) Evercore TMT Global Conference Transcript</w:t>
      </w:r>
      <w:r>
        <w:rPr>
          <w:rFonts w:ascii="Calibri" w:hAnsi="Calibri"/>
          <w:color w:val="525866"/>
          <w:sz w:val="22"/>
        </w:rPr>
        <w:t xml:space="preserve"> — June 2, 2026. Peer read-through on FWA competition, satellite, and wireless market dynamics.</w:t>
      </w:r>
    </w:p>
    <w:p>
      <w:pPr>
        <w:pStyle w:val="ListBullet"/>
        <w:ind w:left="360" w:hanging="360"/>
      </w:pPr>
      <w:r>
        <w:rPr>
          <w:rFonts w:ascii="Calibri" w:hAnsi="Calibri"/>
          <w:b/>
          <w:color w:val="525866"/>
          <w:sz w:val="22"/>
        </w:rPr>
        <w:t>Netflix (NFLX) Q2 2026 Earnings Call Transcript</w:t>
      </w:r>
      <w:r>
        <w:rPr>
          <w:rFonts w:ascii="Calibri" w:hAnsi="Calibri"/>
          <w:color w:val="525866"/>
          <w:sz w:val="22"/>
        </w:rPr>
        <w:t xml:space="preserve"> — July 16, 2026. Peer read-through on streaming advertising, engagement, and content strategy.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