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Comcast Corporation (CMCSA)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CMCSA</w:t>
            </w:r>
          </w:p>
        </w:tc>
        <w:tc>
          <w:tcPr>
            <w:tcW w:type="dxa" w:w="2160"/>
          </w:tcPr>
          <w:p>
            <w:r>
              <w:rPr>
                <w:rFonts w:ascii="Calibri" w:hAnsi="Calibri"/>
                <w:b/>
                <w:sz w:val="22"/>
              </w:rPr>
              <w:t>Earnings Date</w:t>
            </w:r>
          </w:p>
        </w:tc>
        <w:tc>
          <w:tcPr>
            <w:tcW w:type="dxa" w:w="2160"/>
          </w:tcPr>
          <w:p>
            <w:r>
              <w:rPr>
                <w:rFonts w:ascii="Calibri" w:hAnsi="Calibri"/>
                <w:sz w:val="22"/>
              </w:rPr>
              <w:t>July 23, 2026 (Pre-Market, 8:30 AM ET)</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w:t>
            </w:r>
          </w:p>
        </w:tc>
        <w:tc>
          <w:tcPr>
            <w:tcW w:type="dxa" w:w="2160"/>
          </w:tcPr>
          <w:p>
            <w:r>
              <w:rPr>
                <w:rFonts w:ascii="Calibri" w:hAnsi="Calibri"/>
                <w:sz w:val="22"/>
              </w:rPr>
              <w:t>July 22, 2026</w:t>
            </w:r>
          </w:p>
        </w:tc>
      </w:tr>
      <w:tr>
        <w:tc>
          <w:tcPr>
            <w:tcW w:type="dxa" w:w="2160"/>
          </w:tcPr>
          <w:p>
            <w:r>
              <w:rPr>
                <w:rFonts w:ascii="Calibri" w:hAnsi="Calibri"/>
                <w:b/>
                <w:sz w:val="22"/>
              </w:rPr>
              <w:t>Sector</w:t>
            </w:r>
          </w:p>
        </w:tc>
        <w:tc>
          <w:tcPr>
            <w:tcW w:type="dxa" w:w="2160"/>
          </w:tcPr>
          <w:p>
            <w:r>
              <w:rPr>
                <w:rFonts w:ascii="Calibri" w:hAnsi="Calibri"/>
                <w:sz w:val="22"/>
              </w:rPr>
              <w:t>Communication Services</w:t>
            </w:r>
          </w:p>
        </w:tc>
        <w:tc>
          <w:tcPr>
            <w:tcW w:type="dxa" w:w="2160"/>
          </w:tcPr>
          <w:p>
            <w:r>
              <w:rPr>
                <w:rFonts w:ascii="Calibri" w:hAnsi="Calibri"/>
                <w:b/>
                <w:sz w:val="22"/>
              </w:rPr>
              <w:t>Primary Valuation Metric</w:t>
            </w:r>
          </w:p>
        </w:tc>
        <w:tc>
          <w:tcPr>
            <w:tcW w:type="dxa" w:w="2160"/>
          </w:tcPr>
          <w:p>
            <w:r>
              <w:rPr>
                <w:rFonts w:ascii="Calibri" w:hAnsi="Calibri"/>
                <w:sz w:val="22"/>
              </w:rPr>
              <w:t>EV/EBITDA (NTM: 5.05x)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mixed-to-slightly-positive — the bar on broadband is low enough to beat again, but </w:t>
      </w:r>
      <w:r>
        <w:rPr>
          <w:rFonts w:ascii="Calibri" w:hAnsi="Calibri"/>
          <w:b/>
          <w:color w:val="525866"/>
          <w:sz w:val="22"/>
        </w:rPr>
        <w:t>Peacock's first profitable quarter</w:t>
      </w:r>
      <w:r>
        <w:rPr>
          <w:rFonts w:ascii="Calibri" w:hAnsi="Calibri"/>
          <w:color w:val="525866"/>
          <w:sz w:val="22"/>
        </w:rPr>
        <w:t xml:space="preserve"> is the real swing factor and management has already pre-confirmed it; the bigger risk is whether broadband ARPU pressure and parks softness disappoint on the EBITDA line.</w:t>
      </w:r>
    </w:p>
    <w:p>
      <w:r>
        <w:rPr>
          <w:rFonts w:ascii="Calibri" w:hAnsi="Calibri"/>
          <w:color w:val="525866"/>
          <w:sz w:val="22"/>
        </w:rPr>
        <w:t xml:space="preserve">Heading into Q2 2026, consensus has been revised steadily lower since Q1 earnings — adjusted EPS estimates have drifted from ~$0.98 at the August 2025 baseline to ~$0.84 today, and revenue consensus sits at ~$29.3B, implying a ~3.6% YoY decline that largely reflects the absence of the ~$2.2B Olympic/Super Bowl tailwind that inflated Q1. The bar on broadband net losses (~165K consensus) is meaningfully worse than Q1's ~65K actual, but management guided for YoY improvement for the full year and Q1 benefited disproportionately from Legendary February marketing — so a sequential deterioration is already baked in. The most important positive catalyst is </w:t>
      </w:r>
      <w:r>
        <w:rPr>
          <w:rFonts w:ascii="Calibri" w:hAnsi="Calibri"/>
          <w:b/>
          <w:color w:val="525866"/>
          <w:sz w:val="22"/>
        </w:rPr>
        <w:t>Peacock's first-ever profitable quarter</w:t>
      </w:r>
      <w:r>
        <w:rPr>
          <w:rFonts w:ascii="Calibri" w:hAnsi="Calibri"/>
          <w:color w:val="525866"/>
          <w:sz w:val="22"/>
        </w:rPr>
        <w:t xml:space="preserve">: NBCUniversal Chairman Matt Strauss explicitly confirmed profitability at the June 2 Evercore conference, upgrading from Q1's "approach profitability" language, which should remove a key overhang. The stock has underperformed badly since Q1 earnings — down ~26% from the April 23 close of $31.64 to ~$23.52 — driven almost entirely by </w:t>
      </w:r>
      <w:r>
        <w:rPr>
          <w:rFonts w:ascii="Calibri" w:hAnsi="Calibri"/>
          <w:b/>
          <w:color w:val="525866"/>
          <w:sz w:val="22"/>
        </w:rPr>
        <w:t>multiple compression</w:t>
      </w:r>
      <w:r>
        <w:rPr>
          <w:rFonts w:ascii="Calibri" w:hAnsi="Calibri"/>
          <w:color w:val="525866"/>
          <w:sz w:val="22"/>
        </w:rPr>
        <w:t xml:space="preserve"> (EV/EBITDA contracted from ~5.8x to ~5.1x over three months) and the June 29 NBCU spin-off announcement, which reset the investment thesis. The wildcard is </w:t>
      </w:r>
      <w:r>
        <w:rPr>
          <w:rFonts w:ascii="Calibri" w:hAnsi="Calibri"/>
          <w:b/>
          <w:color w:val="525866"/>
          <w:sz w:val="22"/>
        </w:rPr>
        <w:t>domestic parks softness</w:t>
      </w:r>
      <w:r>
        <w:rPr>
          <w:rFonts w:ascii="Calibri" w:hAnsi="Calibri"/>
          <w:color w:val="525866"/>
          <w:sz w:val="22"/>
        </w:rPr>
        <w:t>: management acknowledged emerging domestic weakness at the June Evercore conference, a tone shift from Q1's "no concerning pullback" stance, and any quantification of that headwind on the call could pressure the Content &amp; Experiences EBITDA line and overshadow the Peacock milestone.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broadband (losses of ~165K vs. Q1's ~65K actual) and a modest bar on EBITDA (~$8.86B), but </w:t>
      </w:r>
      <w:r>
        <w:rPr>
          <w:rFonts w:ascii="Calibri" w:hAnsi="Calibri"/>
          <w:b/>
          <w:color w:val="525866"/>
          <w:sz w:val="22"/>
        </w:rPr>
        <w:t>Peacock EBITDA turning positive for the first time</w:t>
      </w:r>
      <w:r>
        <w:rPr>
          <w:rFonts w:ascii="Calibri" w:hAnsi="Calibri"/>
          <w:color w:val="525866"/>
          <w:sz w:val="22"/>
        </w:rPr>
        <w:t xml:space="preserve"> is the single biggest swing factor — consensus expects only ~$27M of profit, leaving room for a positive surprise if NBA cost amortization is favorable.</w:t>
      </w:r>
    </w:p>
    <w:p>
      <w:r>
        <w:rPr>
          <w:rFonts w:ascii="Calibri" w:hAnsi="Calibri"/>
          <w:b/>
          <w:color w:val="525866"/>
          <w:sz w:val="22"/>
        </w:rPr>
        <w:t>Table 2a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$31.46B</w:t>
            </w:r>
          </w:p>
        </w:tc>
        <w:tc>
          <w:tcPr>
            <w:tcW w:type="dxa" w:w="1234"/>
          </w:tcPr>
          <w:p>
            <w:r>
              <w:rPr>
                <w:rFonts w:ascii="Calibri" w:hAnsi="Calibri"/>
                <w:sz w:val="22"/>
              </w:rPr>
              <w:t>$28.79B</w:t>
            </w:r>
          </w:p>
        </w:tc>
        <w:tc>
          <w:tcPr>
            <w:tcW w:type="dxa" w:w="1234"/>
          </w:tcPr>
          <w:p>
            <w:r>
              <w:rPr>
                <w:rFonts w:ascii="Calibri" w:hAnsi="Calibri"/>
                <w:sz w:val="22"/>
              </w:rPr>
              <w:t>$29.27B</w:t>
            </w:r>
          </w:p>
        </w:tc>
        <w:tc>
          <w:tcPr>
            <w:tcW w:type="dxa" w:w="1234"/>
          </w:tcPr>
          <w:p>
            <w:r>
              <w:rPr>
                <w:rFonts w:ascii="Calibri" w:hAnsi="Calibri"/>
                <w:sz w:val="22"/>
              </w:rPr>
              <w:t>+1.7% YoY</w:t>
            </w:r>
          </w:p>
        </w:tc>
        <w:tc>
          <w:tcPr>
            <w:tcW w:type="dxa" w:w="1234"/>
          </w:tcPr>
          <w:p>
            <w:r>
              <w:rPr>
                <w:rFonts w:ascii="Calibri" w:hAnsi="Calibri"/>
                <w:sz w:val="22"/>
              </w:rPr>
              <w:t>No specific Q2 revenue guidance provided; low-single-digit organic growth ex-events</w:t>
            </w:r>
          </w:p>
        </w:tc>
        <w:tc>
          <w:tcPr>
            <w:tcW w:type="dxa" w:w="1234"/>
          </w:tcPr>
          <w:p>
            <w:r>
              <w:rPr>
                <w:rFonts w:ascii="Calibri" w:hAnsi="Calibri"/>
                <w:sz w:val="22"/>
              </w:rPr>
              <w:t>N/A — no formal guidance</w:t>
            </w:r>
          </w:p>
        </w:tc>
      </w:tr>
      <w:tr>
        <w:tc>
          <w:tcPr>
            <w:tcW w:type="dxa" w:w="1234"/>
          </w:tcPr>
          <w:p>
            <w:r>
              <w:rPr>
                <w:rFonts w:ascii="Calibri" w:hAnsi="Calibri"/>
                <w:sz w:val="22"/>
              </w:rPr>
              <w:t>Adjusted EPS — Diluted Operating ($)</w:t>
            </w:r>
          </w:p>
        </w:tc>
        <w:tc>
          <w:tcPr>
            <w:tcW w:type="dxa" w:w="1234"/>
          </w:tcPr>
          <w:p>
            <w:r>
              <w:rPr>
                <w:rFonts w:ascii="Calibri" w:hAnsi="Calibri"/>
                <w:sz w:val="22"/>
              </w:rPr>
              <w:t>$0.79</w:t>
            </w:r>
          </w:p>
        </w:tc>
        <w:tc>
          <w:tcPr>
            <w:tcW w:type="dxa" w:w="1234"/>
          </w:tcPr>
          <w:p>
            <w:r>
              <w:rPr>
                <w:rFonts w:ascii="Calibri" w:hAnsi="Calibri"/>
                <w:sz w:val="22"/>
              </w:rPr>
              <w:t>$1.03</w:t>
            </w:r>
          </w:p>
        </w:tc>
        <w:tc>
          <w:tcPr>
            <w:tcW w:type="dxa" w:w="1234"/>
          </w:tcPr>
          <w:p>
            <w:r>
              <w:rPr>
                <w:rFonts w:ascii="Calibri" w:hAnsi="Calibri"/>
                <w:sz w:val="22"/>
              </w:rPr>
              <w:t>$0.96</w:t>
            </w:r>
          </w:p>
        </w:tc>
        <w:tc>
          <w:tcPr>
            <w:tcW w:type="dxa" w:w="1234"/>
          </w:tcPr>
          <w:p>
            <w:r>
              <w:rPr>
                <w:rFonts w:ascii="Calibri" w:hAnsi="Calibri"/>
                <w:sz w:val="22"/>
              </w:rPr>
              <w:t>-6.8% YoY</w:t>
            </w:r>
          </w:p>
        </w:tc>
        <w:tc>
          <w:tcPr>
            <w:tcW w:type="dxa" w:w="1234"/>
          </w:tcPr>
          <w:p>
            <w:r>
              <w:rPr>
                <w:rFonts w:ascii="Calibri" w:hAnsi="Calibri"/>
                <w:sz w:val="22"/>
              </w:rPr>
              <w:t>No specific EPS guidance; ARPU pressure expected to persist into Q2</w:t>
            </w:r>
          </w:p>
        </w:tc>
        <w:tc>
          <w:tcPr>
            <w:tcW w:type="dxa" w:w="1234"/>
          </w:tcPr>
          <w:p>
            <w:r>
              <w:rPr>
                <w:rFonts w:ascii="Calibri" w:hAnsi="Calibri"/>
                <w:sz w:val="22"/>
              </w:rPr>
              <w:t>N/A — no formal guidance</w:t>
            </w:r>
          </w:p>
        </w:tc>
      </w:tr>
      <w:tr>
        <w:tc>
          <w:tcPr>
            <w:tcW w:type="dxa" w:w="1234"/>
          </w:tcPr>
          <w:p>
            <w:r>
              <w:rPr>
                <w:rFonts w:ascii="Calibri" w:hAnsi="Calibri"/>
                <w:sz w:val="22"/>
              </w:rPr>
              <w:t>Adjusted EBITDA ($B)</w:t>
            </w:r>
          </w:p>
        </w:tc>
        <w:tc>
          <w:tcPr>
            <w:tcW w:type="dxa" w:w="1234"/>
          </w:tcPr>
          <w:p>
            <w:r>
              <w:rPr>
                <w:rFonts w:ascii="Calibri" w:hAnsi="Calibri"/>
                <w:sz w:val="22"/>
              </w:rPr>
              <w:t>$7.93B</w:t>
            </w:r>
          </w:p>
        </w:tc>
        <w:tc>
          <w:tcPr>
            <w:tcW w:type="dxa" w:w="1234"/>
          </w:tcPr>
          <w:p>
            <w:r>
              <w:rPr>
                <w:rFonts w:ascii="Calibri" w:hAnsi="Calibri"/>
                <w:sz w:val="22"/>
              </w:rPr>
              <w:t>$9.49B</w:t>
            </w:r>
          </w:p>
        </w:tc>
        <w:tc>
          <w:tcPr>
            <w:tcW w:type="dxa" w:w="1234"/>
          </w:tcPr>
          <w:p>
            <w:r>
              <w:rPr>
                <w:rFonts w:ascii="Calibri" w:hAnsi="Calibri"/>
                <w:sz w:val="22"/>
              </w:rPr>
              <w:t>$8.86B</w:t>
            </w:r>
          </w:p>
        </w:tc>
        <w:tc>
          <w:tcPr>
            <w:tcW w:type="dxa" w:w="1234"/>
          </w:tcPr>
          <w:p>
            <w:r>
              <w:rPr>
                <w:rFonts w:ascii="Calibri" w:hAnsi="Calibri"/>
                <w:sz w:val="22"/>
              </w:rPr>
              <w:t>-6.7% YoY</w:t>
            </w:r>
          </w:p>
        </w:tc>
        <w:tc>
          <w:tcPr>
            <w:tcW w:type="dxa" w:w="1234"/>
          </w:tcPr>
          <w:p>
            <w:r>
              <w:rPr>
                <w:rFonts w:ascii="Calibri" w:hAnsi="Calibri"/>
                <w:sz w:val="22"/>
              </w:rPr>
              <w:t>Incremental EBITDA pressure in Q2 vs. Q1; relief expected as year progresses</w:t>
            </w:r>
          </w:p>
        </w:tc>
        <w:tc>
          <w:tcPr>
            <w:tcW w:type="dxa" w:w="1234"/>
          </w:tcPr>
          <w:p>
            <w:r>
              <w:rPr>
                <w:rFonts w:ascii="Calibri" w:hAnsi="Calibri"/>
                <w:sz w:val="22"/>
              </w:rPr>
              <w:t>N/A — no formal guidance</w:t>
            </w:r>
          </w:p>
        </w:tc>
      </w:tr>
      <w:tr>
        <w:tc>
          <w:tcPr>
            <w:tcW w:type="dxa" w:w="1234"/>
          </w:tcPr>
          <w:p>
            <w:r>
              <w:rPr>
                <w:rFonts w:ascii="Calibri" w:hAnsi="Calibri"/>
                <w:sz w:val="22"/>
              </w:rPr>
              <w:t>Total Domestic Broadband Net Adds (K)</w:t>
            </w:r>
          </w:p>
        </w:tc>
        <w:tc>
          <w:tcPr>
            <w:tcW w:type="dxa" w:w="1234"/>
          </w:tcPr>
          <w:p>
            <w:r>
              <w:rPr>
                <w:rFonts w:ascii="Calibri" w:hAnsi="Calibri"/>
                <w:sz w:val="22"/>
              </w:rPr>
              <w:t>-65K</w:t>
            </w:r>
          </w:p>
        </w:tc>
        <w:tc>
          <w:tcPr>
            <w:tcW w:type="dxa" w:w="1234"/>
          </w:tcPr>
          <w:p>
            <w:r>
              <w:rPr>
                <w:rFonts w:ascii="Calibri" w:hAnsi="Calibri"/>
                <w:sz w:val="22"/>
              </w:rPr>
              <w:t>-201K</w:t>
            </w:r>
          </w:p>
        </w:tc>
        <w:tc>
          <w:tcPr>
            <w:tcW w:type="dxa" w:w="1234"/>
          </w:tcPr>
          <w:p>
            <w:r>
              <w:rPr>
                <w:rFonts w:ascii="Calibri" w:hAnsi="Calibri"/>
                <w:sz w:val="22"/>
              </w:rPr>
              <w:t>-165K</w:t>
            </w:r>
          </w:p>
        </w:tc>
        <w:tc>
          <w:tcPr>
            <w:tcW w:type="dxa" w:w="1234"/>
          </w:tcPr>
          <w:p>
            <w:r>
              <w:rPr>
                <w:rFonts w:ascii="Calibri" w:hAnsi="Calibri"/>
                <w:sz w:val="22"/>
              </w:rPr>
              <w:t>Better YoY (loss improvement)</w:t>
            </w:r>
          </w:p>
        </w:tc>
        <w:tc>
          <w:tcPr>
            <w:tcW w:type="dxa" w:w="1234"/>
          </w:tcPr>
          <w:p>
            <w:r>
              <w:rPr>
                <w:rFonts w:ascii="Calibri" w:hAnsi="Calibri"/>
                <w:sz w:val="22"/>
              </w:rPr>
              <w:t>YoY improvement expected for full year; Q1 benefited from Legendary February</w:t>
            </w:r>
          </w:p>
        </w:tc>
        <w:tc>
          <w:tcPr>
            <w:tcW w:type="dxa" w:w="1234"/>
          </w:tcPr>
          <w:p>
            <w:r>
              <w:rPr>
                <w:rFonts w:ascii="Calibri" w:hAnsi="Calibri"/>
                <w:sz w:val="22"/>
              </w:rPr>
              <w:t>N/A — directional only</w:t>
            </w:r>
          </w:p>
        </w:tc>
      </w:tr>
      <w:tr>
        <w:tc>
          <w:tcPr>
            <w:tcW w:type="dxa" w:w="1234"/>
          </w:tcPr>
          <w:p>
            <w:r>
              <w:rPr>
                <w:rFonts w:ascii="Calibri" w:hAnsi="Calibri"/>
                <w:sz w:val="22"/>
              </w:rPr>
              <w:t>Wireless Net Adds (K)</w:t>
            </w:r>
          </w:p>
        </w:tc>
        <w:tc>
          <w:tcPr>
            <w:tcW w:type="dxa" w:w="1234"/>
          </w:tcPr>
          <w:p>
            <w:r>
              <w:rPr>
                <w:rFonts w:ascii="Calibri" w:hAnsi="Calibri"/>
                <w:sz w:val="22"/>
              </w:rPr>
              <w:t>~434K</w:t>
            </w:r>
          </w:p>
        </w:tc>
        <w:tc>
          <w:tcPr>
            <w:tcW w:type="dxa" w:w="1234"/>
          </w:tcPr>
          <w:p>
            <w:r>
              <w:rPr>
                <w:rFonts w:ascii="Calibri" w:hAnsi="Calibri"/>
                <w:sz w:val="22"/>
              </w:rPr>
              <w:t>~379K</w:t>
            </w:r>
          </w:p>
        </w:tc>
        <w:tc>
          <w:tcPr>
            <w:tcW w:type="dxa" w:w="1234"/>
          </w:tcPr>
          <w:p>
            <w:r>
              <w:rPr>
                <w:rFonts w:ascii="Calibri" w:hAnsi="Calibri"/>
                <w:sz w:val="22"/>
              </w:rPr>
              <w:t>~328K</w:t>
            </w:r>
          </w:p>
        </w:tc>
        <w:tc>
          <w:tcPr>
            <w:tcW w:type="dxa" w:w="1234"/>
          </w:tcPr>
          <w:p>
            <w:r>
              <w:rPr>
                <w:rFonts w:ascii="Calibri" w:hAnsi="Calibri"/>
                <w:sz w:val="22"/>
              </w:rPr>
              <w:t>+N/A (sequential decline expected)</w:t>
            </w:r>
          </w:p>
        </w:tc>
        <w:tc>
          <w:tcPr>
            <w:tcW w:type="dxa" w:w="1234"/>
          </w:tcPr>
          <w:p>
            <w:r>
              <w:rPr>
                <w:rFonts w:ascii="Calibri" w:hAnsi="Calibri"/>
                <w:sz w:val="22"/>
              </w:rPr>
              <w:t>Wireless is #1 priority; free line conversions to paid expected to accelerate in H2</w:t>
            </w:r>
          </w:p>
        </w:tc>
        <w:tc>
          <w:tcPr>
            <w:tcW w:type="dxa" w:w="1234"/>
          </w:tcPr>
          <w:p>
            <w:r>
              <w:rPr>
                <w:rFonts w:ascii="Calibri" w:hAnsi="Calibri"/>
                <w:sz w:val="22"/>
              </w:rPr>
              <w:t>N/A — directional only</w:t>
            </w:r>
          </w:p>
        </w:tc>
      </w:tr>
      <w:tr>
        <w:tc>
          <w:tcPr>
            <w:tcW w:type="dxa" w:w="1234"/>
          </w:tcPr>
          <w:p>
            <w:r>
              <w:rPr>
                <w:rFonts w:ascii="Calibri" w:hAnsi="Calibri"/>
                <w:sz w:val="22"/>
              </w:rPr>
              <w:t>Peacock Paid Subscribers (M)</w:t>
            </w:r>
          </w:p>
        </w:tc>
        <w:tc>
          <w:tcPr>
            <w:tcW w:type="dxa" w:w="1234"/>
          </w:tcPr>
          <w:p>
            <w:r>
              <w:rPr>
                <w:rFonts w:ascii="Calibri" w:hAnsi="Calibri"/>
                <w:sz w:val="22"/>
              </w:rPr>
              <w:t>46.0M</w:t>
            </w:r>
          </w:p>
        </w:tc>
        <w:tc>
          <w:tcPr>
            <w:tcW w:type="dxa" w:w="1234"/>
          </w:tcPr>
          <w:p>
            <w:r>
              <w:rPr>
                <w:rFonts w:ascii="Calibri" w:hAnsi="Calibri"/>
                <w:sz w:val="22"/>
              </w:rPr>
              <w:t>41.0M</w:t>
            </w:r>
          </w:p>
        </w:tc>
        <w:tc>
          <w:tcPr>
            <w:tcW w:type="dxa" w:w="1234"/>
          </w:tcPr>
          <w:p>
            <w:r>
              <w:rPr>
                <w:rFonts w:ascii="Calibri" w:hAnsi="Calibri"/>
                <w:sz w:val="22"/>
              </w:rPr>
              <w:t>~46.3M</w:t>
            </w:r>
          </w:p>
        </w:tc>
        <w:tc>
          <w:tcPr>
            <w:tcW w:type="dxa" w:w="1234"/>
          </w:tcPr>
          <w:p>
            <w:r>
              <w:rPr>
                <w:rFonts w:ascii="Calibri" w:hAnsi="Calibri"/>
                <w:sz w:val="22"/>
              </w:rPr>
              <w:t>+12.9% YoY</w:t>
            </w:r>
          </w:p>
        </w:tc>
        <w:tc>
          <w:tcPr>
            <w:tcW w:type="dxa" w:w="1234"/>
          </w:tcPr>
          <w:p>
            <w:r>
              <w:rPr>
                <w:rFonts w:ascii="Calibri" w:hAnsi="Calibri"/>
                <w:sz w:val="22"/>
              </w:rPr>
              <w:t>No specific sub guidance; focus on high-quality, high-ARPU subscribers</w:t>
            </w:r>
          </w:p>
        </w:tc>
        <w:tc>
          <w:tcPr>
            <w:tcW w:type="dxa" w:w="1234"/>
          </w:tcPr>
          <w:p>
            <w:r>
              <w:rPr>
                <w:rFonts w:ascii="Calibri" w:hAnsi="Calibri"/>
                <w:sz w:val="22"/>
              </w:rPr>
              <w:t>N/A — no formal guidance</w:t>
            </w:r>
          </w:p>
        </w:tc>
      </w:tr>
      <w:tr>
        <w:tc>
          <w:tcPr>
            <w:tcW w:type="dxa" w:w="1234"/>
          </w:tcPr>
          <w:p>
            <w:r>
              <w:rPr>
                <w:rFonts w:ascii="Calibri" w:hAnsi="Calibri"/>
                <w:sz w:val="22"/>
              </w:rPr>
              <w:t>Peacock EBITDA ($M)</w:t>
            </w:r>
          </w:p>
        </w:tc>
        <w:tc>
          <w:tcPr>
            <w:tcW w:type="dxa" w:w="1234"/>
          </w:tcPr>
          <w:p>
            <w:r>
              <w:rPr>
                <w:rFonts w:ascii="Calibri" w:hAnsi="Calibri"/>
                <w:sz w:val="22"/>
              </w:rPr>
              <w:t>-$432M</w:t>
            </w:r>
          </w:p>
        </w:tc>
        <w:tc>
          <w:tcPr>
            <w:tcW w:type="dxa" w:w="1234"/>
          </w:tcPr>
          <w:p>
            <w:r>
              <w:rPr>
                <w:rFonts w:ascii="Calibri" w:hAnsi="Calibri"/>
                <w:sz w:val="22"/>
              </w:rPr>
              <w:t>-$101M</w:t>
            </w:r>
          </w:p>
        </w:tc>
        <w:tc>
          <w:tcPr>
            <w:tcW w:type="dxa" w:w="1234"/>
          </w:tcPr>
          <w:p>
            <w:r>
              <w:rPr>
                <w:rFonts w:ascii="Calibri" w:hAnsi="Calibri"/>
                <w:sz w:val="22"/>
              </w:rPr>
              <w:t>~+$27M</w:t>
            </w:r>
          </w:p>
        </w:tc>
        <w:tc>
          <w:tcPr>
            <w:tcW w:type="dxa" w:w="1234"/>
          </w:tcPr>
          <w:p>
            <w:r>
              <w:rPr>
                <w:rFonts w:ascii="Calibri" w:hAnsi="Calibri"/>
                <w:sz w:val="22"/>
              </w:rPr>
              <w:t>Turning profitable YoY</w:t>
            </w:r>
          </w:p>
        </w:tc>
        <w:tc>
          <w:tcPr>
            <w:tcW w:type="dxa" w:w="1234"/>
          </w:tcPr>
          <w:p>
            <w:r>
              <w:rPr>
                <w:rFonts w:ascii="Calibri" w:hAnsi="Calibri"/>
                <w:sz w:val="22"/>
              </w:rPr>
              <w:t>"Will be profitable in Q2" — Matt Strauss confirmed at Evercore June 2, 2026</w:t>
            </w:r>
          </w:p>
        </w:tc>
        <w:tc>
          <w:tcPr>
            <w:tcW w:type="dxa" w:w="1234"/>
          </w:tcPr>
          <w:p>
            <w:r>
              <w:rPr>
                <w:rFonts w:ascii="Calibri" w:hAnsi="Calibri"/>
                <w:sz w:val="22"/>
              </w:rPr>
              <w:t>Consensus ~+$27M vs. confirmed profitable; modest upside possible</w:t>
            </w:r>
          </w:p>
        </w:tc>
      </w:tr>
      <w:tr>
        <w:tc>
          <w:tcPr>
            <w:tcW w:type="dxa" w:w="1234"/>
          </w:tcPr>
          <w:p>
            <w:r>
              <w:rPr>
                <w:rFonts w:ascii="Calibri" w:hAnsi="Calibri"/>
                <w:sz w:val="22"/>
              </w:rPr>
              <w:t>Free Cash Flow ($B)</w:t>
            </w:r>
          </w:p>
        </w:tc>
        <w:tc>
          <w:tcPr>
            <w:tcW w:type="dxa" w:w="1234"/>
          </w:tcPr>
          <w:p>
            <w:r>
              <w:rPr>
                <w:rFonts w:ascii="Calibri" w:hAnsi="Calibri"/>
                <w:sz w:val="22"/>
              </w:rPr>
              <w:t>$3.90B</w:t>
            </w:r>
          </w:p>
        </w:tc>
        <w:tc>
          <w:tcPr>
            <w:tcW w:type="dxa" w:w="1234"/>
          </w:tcPr>
          <w:p>
            <w:r>
              <w:rPr>
                <w:rFonts w:ascii="Calibri" w:hAnsi="Calibri"/>
                <w:sz w:val="22"/>
              </w:rPr>
              <w:t>$4.50B</w:t>
            </w:r>
          </w:p>
        </w:tc>
        <w:tc>
          <w:tcPr>
            <w:tcW w:type="dxa" w:w="1234"/>
          </w:tcPr>
          <w:p>
            <w:r>
              <w:rPr>
                <w:rFonts w:ascii="Calibri" w:hAnsi="Calibri"/>
                <w:sz w:val="22"/>
              </w:rPr>
              <w:t>$3.74B</w:t>
            </w:r>
          </w:p>
        </w:tc>
        <w:tc>
          <w:tcPr>
            <w:tcW w:type="dxa" w:w="1234"/>
          </w:tcPr>
          <w:p>
            <w:r>
              <w:rPr>
                <w:rFonts w:ascii="Calibri" w:hAnsi="Calibri"/>
                <w:sz w:val="22"/>
              </w:rPr>
              <w:t>-16.9% YoY</w:t>
            </w:r>
          </w:p>
        </w:tc>
        <w:tc>
          <w:tcPr>
            <w:tcW w:type="dxa" w:w="1234"/>
          </w:tcPr>
          <w:p>
            <w:r>
              <w:rPr>
                <w:rFonts w:ascii="Calibri" w:hAnsi="Calibri"/>
                <w:sz w:val="22"/>
              </w:rPr>
              <w:t>No specific Q2 FCF guidance; strong FCF generation expected for full year</w:t>
            </w:r>
          </w:p>
        </w:tc>
        <w:tc>
          <w:tcPr>
            <w:tcW w:type="dxa" w:w="1234"/>
          </w:tcPr>
          <w:p>
            <w:r>
              <w:rPr>
                <w:rFonts w:ascii="Calibri" w:hAnsi="Calibri"/>
                <w:sz w:val="22"/>
              </w:rPr>
              <w:t>N/A — no formal guidance</w:t>
            </w:r>
          </w:p>
        </w:tc>
      </w:tr>
    </w:tbl>
    <w:p>
      <w:r>
        <w:rPr>
          <w:rFonts w:ascii="Calibri" w:hAnsi="Calibri"/>
          <w:i/>
          <w:color w:val="525866"/>
          <w:sz w:val="22"/>
        </w:rPr>
        <w:t>Source: Visible Alpha Consensus and Actuals Data</w:t>
      </w:r>
    </w:p>
    <w:p>
      <w:r>
        <w:rPr>
          <w:rFonts w:ascii="Calibri" w:hAnsi="Calibri"/>
          <w:b/>
          <w:color w:val="525866"/>
          <w:sz w:val="22"/>
        </w:rPr>
        <w:t>Table 2b — Beat/Miss History: Top 2 KPIs (Last 8 Quarters)</w:t>
      </w:r>
    </w:p>
    <w:p>
      <w:r>
        <w:rPr>
          <w:rFonts w:ascii="Calibri" w:hAnsi="Calibri"/>
          <w:b/>
          <w:color w:val="525866"/>
          <w:sz w:val="22"/>
        </w:rPr>
        <w:t>KPI 1: Total Domestic Broadband Net Adds (K)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w:t>
            </w:r>
          </w:p>
        </w:tc>
        <w:tc>
          <w:tcPr>
            <w:tcW w:type="dxa" w:w="1728"/>
            <w:shd w:val="clear" w:color="auto" w:fill="3B4259"/>
          </w:tcPr>
          <w:p>
            <w:r>
              <w:rPr>
                <w:rFonts w:ascii="Calibri" w:hAnsi="Calibri"/>
                <w:b/>
                <w:color w:val="FFFFFF"/>
                <w:sz w:val="22"/>
              </w:rPr>
              <w:t>Consensus (K)</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-65</w:t>
            </w:r>
          </w:p>
        </w:tc>
        <w:tc>
          <w:tcPr>
            <w:tcW w:type="dxa" w:w="1728"/>
          </w:tcPr>
          <w:p>
            <w:r>
              <w:rPr>
                <w:rFonts w:ascii="Calibri" w:hAnsi="Calibri"/>
                <w:sz w:val="22"/>
              </w:rPr>
              <w:t>-171</w:t>
            </w:r>
          </w:p>
        </w:tc>
        <w:tc>
          <w:tcPr>
            <w:tcW w:type="dxa" w:w="1728"/>
          </w:tcPr>
          <w:p>
            <w:r>
              <w:rPr>
                <w:rFonts w:ascii="Calibri" w:hAnsi="Calibri"/>
                <w:sz w:val="22"/>
              </w:rPr>
              <w:t>+106K better</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-181</w:t>
            </w:r>
          </w:p>
        </w:tc>
        <w:tc>
          <w:tcPr>
            <w:tcW w:type="dxa" w:w="1728"/>
          </w:tcPr>
          <w:p>
            <w:r>
              <w:rPr>
                <w:rFonts w:ascii="Calibri" w:hAnsi="Calibri"/>
                <w:sz w:val="22"/>
              </w:rPr>
              <w:t>-178</w:t>
            </w:r>
          </w:p>
        </w:tc>
        <w:tc>
          <w:tcPr>
            <w:tcW w:type="dxa" w:w="1728"/>
          </w:tcPr>
          <w:p>
            <w:r>
              <w:rPr>
                <w:rFonts w:ascii="Calibri" w:hAnsi="Calibri"/>
                <w:sz w:val="22"/>
              </w:rPr>
              <w:t>-3K worse</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-104</w:t>
            </w:r>
          </w:p>
        </w:tc>
        <w:tc>
          <w:tcPr>
            <w:tcW w:type="dxa" w:w="1728"/>
          </w:tcPr>
          <w:p>
            <w:r>
              <w:rPr>
                <w:rFonts w:ascii="Calibri" w:hAnsi="Calibri"/>
                <w:sz w:val="22"/>
              </w:rPr>
              <w:t>-137</w:t>
            </w:r>
          </w:p>
        </w:tc>
        <w:tc>
          <w:tcPr>
            <w:tcW w:type="dxa" w:w="1728"/>
          </w:tcPr>
          <w:p>
            <w:r>
              <w:rPr>
                <w:rFonts w:ascii="Calibri" w:hAnsi="Calibri"/>
                <w:sz w:val="22"/>
              </w:rPr>
              <w:t>+33K better</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-201</w:t>
            </w:r>
          </w:p>
        </w:tc>
        <w:tc>
          <w:tcPr>
            <w:tcW w:type="dxa" w:w="1728"/>
          </w:tcPr>
          <w:p>
            <w:r>
              <w:rPr>
                <w:rFonts w:ascii="Calibri" w:hAnsi="Calibri"/>
                <w:sz w:val="22"/>
              </w:rPr>
              <w:t>-261</w:t>
            </w:r>
          </w:p>
        </w:tc>
        <w:tc>
          <w:tcPr>
            <w:tcW w:type="dxa" w:w="1728"/>
          </w:tcPr>
          <w:p>
            <w:r>
              <w:rPr>
                <w:rFonts w:ascii="Calibri" w:hAnsi="Calibri"/>
                <w:sz w:val="22"/>
              </w:rPr>
              <w:t>+60K better</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-199</w:t>
            </w:r>
          </w:p>
        </w:tc>
        <w:tc>
          <w:tcPr>
            <w:tcW w:type="dxa" w:w="1728"/>
          </w:tcPr>
          <w:p>
            <w:r>
              <w:rPr>
                <w:rFonts w:ascii="Calibri" w:hAnsi="Calibri"/>
                <w:sz w:val="22"/>
              </w:rPr>
              <w:t>-148</w:t>
            </w:r>
          </w:p>
        </w:tc>
        <w:tc>
          <w:tcPr>
            <w:tcW w:type="dxa" w:w="1728"/>
          </w:tcPr>
          <w:p>
            <w:r>
              <w:rPr>
                <w:rFonts w:ascii="Calibri" w:hAnsi="Calibri"/>
                <w:sz w:val="22"/>
              </w:rPr>
              <w:t>-51K worse</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-139</w:t>
            </w:r>
          </w:p>
        </w:tc>
        <w:tc>
          <w:tcPr>
            <w:tcW w:type="dxa" w:w="1728"/>
          </w:tcPr>
          <w:p>
            <w:r>
              <w:rPr>
                <w:rFonts w:ascii="Calibri" w:hAnsi="Calibri"/>
                <w:sz w:val="22"/>
              </w:rPr>
              <w:t>-99</w:t>
            </w:r>
          </w:p>
        </w:tc>
        <w:tc>
          <w:tcPr>
            <w:tcW w:type="dxa" w:w="1728"/>
          </w:tcPr>
          <w:p>
            <w:r>
              <w:rPr>
                <w:rFonts w:ascii="Calibri" w:hAnsi="Calibri"/>
                <w:sz w:val="22"/>
              </w:rPr>
              <w:t>-40K worse</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-87</w:t>
            </w:r>
          </w:p>
        </w:tc>
        <w:tc>
          <w:tcPr>
            <w:tcW w:type="dxa" w:w="1728"/>
          </w:tcPr>
          <w:p>
            <w:r>
              <w:rPr>
                <w:rFonts w:ascii="Calibri" w:hAnsi="Calibri"/>
                <w:sz w:val="22"/>
              </w:rPr>
              <w:t>-147</w:t>
            </w:r>
          </w:p>
        </w:tc>
        <w:tc>
          <w:tcPr>
            <w:tcW w:type="dxa" w:w="1728"/>
          </w:tcPr>
          <w:p>
            <w:r>
              <w:rPr>
                <w:rFonts w:ascii="Calibri" w:hAnsi="Calibri"/>
                <w:sz w:val="22"/>
              </w:rPr>
              <w:t>+60K better</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-139</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KPI 2: Adjusted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$0.79</w:t>
            </w:r>
          </w:p>
        </w:tc>
        <w:tc>
          <w:tcPr>
            <w:tcW w:type="dxa" w:w="1728"/>
          </w:tcPr>
          <w:p>
            <w:r>
              <w:rPr>
                <w:rFonts w:ascii="Calibri" w:hAnsi="Calibri"/>
                <w:sz w:val="22"/>
              </w:rPr>
              <w:t>$0.73</w:t>
            </w:r>
          </w:p>
        </w:tc>
        <w:tc>
          <w:tcPr>
            <w:tcW w:type="dxa" w:w="1728"/>
          </w:tcPr>
          <w:p>
            <w:r>
              <w:rPr>
                <w:rFonts w:ascii="Calibri" w:hAnsi="Calibri"/>
                <w:sz w:val="22"/>
              </w:rPr>
              <w:t>+8.2%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$0.84</w:t>
            </w:r>
          </w:p>
        </w:tc>
        <w:tc>
          <w:tcPr>
            <w:tcW w:type="dxa" w:w="1728"/>
          </w:tcPr>
          <w:p>
            <w:r>
              <w:rPr>
                <w:rFonts w:ascii="Calibri" w:hAnsi="Calibri"/>
                <w:sz w:val="22"/>
              </w:rPr>
              <w:t>$0.74</w:t>
            </w:r>
          </w:p>
        </w:tc>
        <w:tc>
          <w:tcPr>
            <w:tcW w:type="dxa" w:w="1728"/>
          </w:tcPr>
          <w:p>
            <w:r>
              <w:rPr>
                <w:rFonts w:ascii="Calibri" w:hAnsi="Calibri"/>
                <w:sz w:val="22"/>
              </w:rPr>
              <w:t>+13.5%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$0.97</w:t>
            </w:r>
          </w:p>
        </w:tc>
        <w:tc>
          <w:tcPr>
            <w:tcW w:type="dxa" w:w="1728"/>
          </w:tcPr>
          <w:p>
            <w:r>
              <w:rPr>
                <w:rFonts w:ascii="Calibri" w:hAnsi="Calibri"/>
                <w:sz w:val="22"/>
              </w:rPr>
              <w:t>$1.09</w:t>
            </w:r>
          </w:p>
        </w:tc>
        <w:tc>
          <w:tcPr>
            <w:tcW w:type="dxa" w:w="1728"/>
          </w:tcPr>
          <w:p>
            <w:r>
              <w:rPr>
                <w:rFonts w:ascii="Calibri" w:hAnsi="Calibri"/>
                <w:sz w:val="22"/>
              </w:rPr>
              <w:t>-11.0%</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$1.03</w:t>
            </w:r>
          </w:p>
        </w:tc>
        <w:tc>
          <w:tcPr>
            <w:tcW w:type="dxa" w:w="1728"/>
          </w:tcPr>
          <w:p>
            <w:r>
              <w:rPr>
                <w:rFonts w:ascii="Calibri" w:hAnsi="Calibri"/>
                <w:sz w:val="22"/>
              </w:rPr>
              <w:t>$1.17</w:t>
            </w:r>
          </w:p>
        </w:tc>
        <w:tc>
          <w:tcPr>
            <w:tcW w:type="dxa" w:w="1728"/>
          </w:tcPr>
          <w:p>
            <w:r>
              <w:rPr>
                <w:rFonts w:ascii="Calibri" w:hAnsi="Calibri"/>
                <w:sz w:val="22"/>
              </w:rPr>
              <w:t>-11.9%</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$0.87</w:t>
            </w:r>
          </w:p>
        </w:tc>
        <w:tc>
          <w:tcPr>
            <w:tcW w:type="dxa" w:w="1728"/>
          </w:tcPr>
          <w:p>
            <w:r>
              <w:rPr>
                <w:rFonts w:ascii="Calibri" w:hAnsi="Calibri"/>
                <w:sz w:val="22"/>
              </w:rPr>
              <w:t>$0.99</w:t>
            </w:r>
          </w:p>
        </w:tc>
        <w:tc>
          <w:tcPr>
            <w:tcW w:type="dxa" w:w="1728"/>
          </w:tcPr>
          <w:p>
            <w:r>
              <w:rPr>
                <w:rFonts w:ascii="Calibri" w:hAnsi="Calibri"/>
                <w:sz w:val="22"/>
              </w:rPr>
              <w:t>-12.1%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$0.76</w:t>
            </w:r>
          </w:p>
        </w:tc>
        <w:tc>
          <w:tcPr>
            <w:tcW w:type="dxa" w:w="1728"/>
          </w:tcPr>
          <w:p>
            <w:r>
              <w:rPr>
                <w:rFonts w:ascii="Calibri" w:hAnsi="Calibri"/>
                <w:sz w:val="22"/>
              </w:rPr>
              <w:t>$0.86</w:t>
            </w:r>
          </w:p>
        </w:tc>
        <w:tc>
          <w:tcPr>
            <w:tcW w:type="dxa" w:w="1728"/>
          </w:tcPr>
          <w:p>
            <w:r>
              <w:rPr>
                <w:rFonts w:ascii="Calibri" w:hAnsi="Calibri"/>
                <w:sz w:val="22"/>
              </w:rPr>
              <w:t>-11.7%</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$0.99</w:t>
            </w:r>
          </w:p>
        </w:tc>
        <w:tc>
          <w:tcPr>
            <w:tcW w:type="dxa" w:w="1728"/>
          </w:tcPr>
          <w:p>
            <w:r>
              <w:rPr>
                <w:rFonts w:ascii="Calibri" w:hAnsi="Calibri"/>
                <w:sz w:val="22"/>
              </w:rPr>
              <w:t>$1.06</w:t>
            </w:r>
          </w:p>
        </w:tc>
        <w:tc>
          <w:tcPr>
            <w:tcW w:type="dxa" w:w="1728"/>
          </w:tcPr>
          <w:p>
            <w:r>
              <w:rPr>
                <w:rFonts w:ascii="Calibri" w:hAnsi="Calibri"/>
                <w:sz w:val="22"/>
              </w:rPr>
              <w:t>-6.6%</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$1.03</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Broadband net adds have beaten consensus in 4 of the last 7 reported quarters, with the largest beat in Q1 2026 (+106K) driven by Legendary February marketing. Adjusted EPS missed consensus in 5 of the last 7 reported quarters, reflecting the ongoing investment cycle and NBA rights cost headwinds — the two recent beats (Q1 2026, Q4 2025) coincide with the post-Versant spin-off period and reset consensus expectations.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numerical guidance was revised post-Q1, but tone has shifted on two fronts: </w:t>
      </w:r>
      <w:r>
        <w:rPr>
          <w:rFonts w:ascii="Calibri" w:hAnsi="Calibri"/>
          <w:b/>
          <w:color w:val="525866"/>
          <w:sz w:val="22"/>
        </w:rPr>
        <w:t>Peacock profitability upgraded from ‘approach’ to confirmed</w:t>
      </w:r>
      <w:r>
        <w:rPr>
          <w:rFonts w:ascii="Calibri" w:hAnsi="Calibri"/>
          <w:color w:val="525866"/>
          <w:sz w:val="22"/>
        </w:rPr>
        <w:t>, and domestic parks commentary turned more cautious at the June Evercore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 / Post-Earnings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Peacock EBITDA (Q2 2026)</w:t>
            </w:r>
          </w:p>
        </w:tc>
        <w:tc>
          <w:tcPr>
            <w:tcW w:type="dxa" w:w="1728"/>
          </w:tcPr>
          <w:p>
            <w:r>
              <w:rPr>
                <w:rFonts w:ascii="Calibri" w:hAnsi="Calibri"/>
                <w:sz w:val="22"/>
              </w:rPr>
              <w:t>"Approach profitability for the first time next quarter" — Cavanagh, Apr 23</w:t>
            </w:r>
          </w:p>
        </w:tc>
        <w:tc>
          <w:tcPr>
            <w:tcW w:type="dxa" w:w="1728"/>
          </w:tcPr>
          <w:p>
            <w:r>
              <w:rPr>
                <w:rFonts w:ascii="Calibri" w:hAnsi="Calibri"/>
                <w:sz w:val="22"/>
              </w:rPr>
              <w:t>"Will be profitable in Q2" — Strauss, Evercore Conference, Jun 2, 2026</w:t>
            </w:r>
          </w:p>
        </w:tc>
        <w:tc>
          <w:tcPr>
            <w:tcW w:type="dxa" w:w="1728"/>
          </w:tcPr>
          <w:p>
            <w:r>
              <w:rPr>
                <w:rFonts w:ascii="Calibri" w:hAnsi="Calibri"/>
                <w:sz w:val="22"/>
              </w:rPr>
              <w:t>~+$27M</w:t>
            </w:r>
          </w:p>
        </w:tc>
        <w:tc>
          <w:tcPr>
            <w:tcW w:type="dxa" w:w="1728"/>
          </w:tcPr>
          <w:p>
            <w:r>
              <w:rPr>
                <w:rFonts w:ascii="Calibri" w:hAnsi="Calibri"/>
                <w:sz w:val="22"/>
              </w:rPr>
              <w:t>↑ Upgraded at Evercore Jun 2; language shifted from ‘approach’ to definitive confirmation; straight-line NBA amortization supports ongoing profitability beyond Q2</w:t>
            </w:r>
          </w:p>
        </w:tc>
      </w:tr>
      <w:tr>
        <w:tc>
          <w:tcPr>
            <w:tcW w:type="dxa" w:w="1728"/>
          </w:tcPr>
          <w:p>
            <w:r>
              <w:rPr>
                <w:rFonts w:ascii="Calibri" w:hAnsi="Calibri"/>
                <w:sz w:val="22"/>
              </w:rPr>
              <w:t>Broadband ARPU (Q2 2026)</w:t>
            </w:r>
          </w:p>
        </w:tc>
        <w:tc>
          <w:tcPr>
            <w:tcW w:type="dxa" w:w="1728"/>
          </w:tcPr>
          <w:p>
            <w:r>
              <w:rPr>
                <w:rFonts w:ascii="Calibri" w:hAnsi="Calibri"/>
                <w:sz w:val="22"/>
              </w:rPr>
              <w:t>"Incremental pressure in Q2; relief as we exit the year" — Armstrong/Croney, Apr 23</w:t>
            </w:r>
          </w:p>
        </w:tc>
        <w:tc>
          <w:tcPr>
            <w:tcW w:type="dxa" w:w="1728"/>
          </w:tcPr>
          <w:p>
            <w:r>
              <w:rPr>
                <w:rFonts w:ascii="Calibri" w:hAnsi="Calibri"/>
                <w:sz w:val="22"/>
              </w:rPr>
              <w:t>Unchanged</w:t>
            </w:r>
          </w:p>
        </w:tc>
        <w:tc>
          <w:tcPr>
            <w:tcW w:type="dxa" w:w="1728"/>
          </w:tcPr>
          <w:p>
            <w:r>
              <w:rPr>
                <w:rFonts w:ascii="Calibri" w:hAnsi="Calibri"/>
                <w:sz w:val="22"/>
              </w:rPr>
              <w:t>Continued YoY decline expected</w:t>
            </w:r>
          </w:p>
        </w:tc>
        <w:tc>
          <w:tcPr>
            <w:tcW w:type="dxa" w:w="1728"/>
          </w:tcPr>
          <w:p>
            <w:r>
              <w:rPr>
                <w:rFonts w:ascii="Calibri" w:hAnsi="Calibri"/>
                <w:sz w:val="22"/>
              </w:rPr>
              <w:t>= Reaffirmed; free line conversions to paid expected to be a tailwind in H2 2026</w:t>
            </w:r>
          </w:p>
        </w:tc>
      </w:tr>
      <w:tr>
        <w:tc>
          <w:tcPr>
            <w:tcW w:type="dxa" w:w="1728"/>
          </w:tcPr>
          <w:p>
            <w:r>
              <w:rPr>
                <w:rFonts w:ascii="Calibri" w:hAnsi="Calibri"/>
                <w:sz w:val="22"/>
              </w:rPr>
              <w:t>Broadband Net Adds (FY 2026)</w:t>
            </w:r>
          </w:p>
        </w:tc>
        <w:tc>
          <w:tcPr>
            <w:tcW w:type="dxa" w:w="1728"/>
          </w:tcPr>
          <w:p>
            <w:r>
              <w:rPr>
                <w:rFonts w:ascii="Calibri" w:hAnsi="Calibri"/>
                <w:sz w:val="22"/>
              </w:rPr>
              <w:t>"YoY improvement expected for full year; Q1 benefited disproportionately from Legendary February" — Croney, Apr 23</w:t>
            </w:r>
          </w:p>
        </w:tc>
        <w:tc>
          <w:tcPr>
            <w:tcW w:type="dxa" w:w="1728"/>
          </w:tcPr>
          <w:p>
            <w:r>
              <w:rPr>
                <w:rFonts w:ascii="Calibri" w:hAnsi="Calibri"/>
                <w:sz w:val="22"/>
              </w:rPr>
              <w:t>Unchanged</w:t>
            </w:r>
          </w:p>
        </w:tc>
        <w:tc>
          <w:tcPr>
            <w:tcW w:type="dxa" w:w="1728"/>
          </w:tcPr>
          <w:p>
            <w:r>
              <w:rPr>
                <w:rFonts w:ascii="Calibri" w:hAnsi="Calibri"/>
                <w:sz w:val="22"/>
              </w:rPr>
              <w:t>~-446K FY 2026 consensus</w:t>
            </w:r>
          </w:p>
        </w:tc>
        <w:tc>
          <w:tcPr>
            <w:tcW w:type="dxa" w:w="1728"/>
          </w:tcPr>
          <w:p>
            <w:r>
              <w:rPr>
                <w:rFonts w:ascii="Calibri" w:hAnsi="Calibri"/>
                <w:sz w:val="22"/>
              </w:rPr>
              <w:t>= Reaffirmed; sequential deterioration in Q2 expected and already in consensus</w:t>
            </w:r>
          </w:p>
        </w:tc>
      </w:tr>
      <w:tr>
        <w:tc>
          <w:tcPr>
            <w:tcW w:type="dxa" w:w="1728"/>
          </w:tcPr>
          <w:p>
            <w:r>
              <w:rPr>
                <w:rFonts w:ascii="Calibri" w:hAnsi="Calibri"/>
                <w:sz w:val="22"/>
              </w:rPr>
              <w:t>Domestic Theme Parks (Q2 2026)</w:t>
            </w:r>
          </w:p>
        </w:tc>
        <w:tc>
          <w:tcPr>
            <w:tcW w:type="dxa" w:w="1728"/>
          </w:tcPr>
          <w:p>
            <w:r>
              <w:rPr>
                <w:rFonts w:ascii="Calibri" w:hAnsi="Calibri"/>
                <w:sz w:val="22"/>
              </w:rPr>
              <w:t>"Not seeing a pullback of any level that’s concerning" — Cavanagh, Apr 23</w:t>
            </w:r>
          </w:p>
        </w:tc>
        <w:tc>
          <w:tcPr>
            <w:tcW w:type="dxa" w:w="1728"/>
          </w:tcPr>
          <w:p>
            <w:r>
              <w:rPr>
                <w:rFonts w:ascii="Calibri" w:hAnsi="Calibri"/>
                <w:sz w:val="22"/>
              </w:rPr>
              <w:t>"Seeing some softness domestically" — Strauss, Evercore Conference, Jun 2, 2026</w:t>
            </w:r>
          </w:p>
        </w:tc>
        <w:tc>
          <w:tcPr>
            <w:tcW w:type="dxa" w:w="1728"/>
          </w:tcPr>
          <w:p>
            <w:r>
              <w:rPr>
                <w:rFonts w:ascii="Calibri" w:hAnsi="Calibri"/>
                <w:sz w:val="22"/>
              </w:rPr>
              <w:t>N/A — no specific parks consensus</w:t>
            </w:r>
          </w:p>
        </w:tc>
        <w:tc>
          <w:tcPr>
            <w:tcW w:type="dxa" w:w="1728"/>
          </w:tcPr>
          <w:p>
            <w:r>
              <w:rPr>
                <w:rFonts w:ascii="Calibri" w:hAnsi="Calibri"/>
                <w:sz w:val="22"/>
              </w:rPr>
              <w:t>↓ Tone more cautious at Evercore Jun 2; domestic softness acknowledged alongside ongoing international headwinds (Osaka/Beijing)</w:t>
            </w:r>
          </w:p>
        </w:tc>
      </w:tr>
      <w:tr>
        <w:tc>
          <w:tcPr>
            <w:tcW w:type="dxa" w:w="1728"/>
          </w:tcPr>
          <w:p>
            <w:r>
              <w:rPr>
                <w:rFonts w:ascii="Calibri" w:hAnsi="Calibri"/>
                <w:sz w:val="22"/>
              </w:rPr>
              <w:t>Leverage (FY 2026)</w:t>
            </w:r>
          </w:p>
        </w:tc>
        <w:tc>
          <w:tcPr>
            <w:tcW w:type="dxa" w:w="1728"/>
          </w:tcPr>
          <w:p>
            <w:r>
              <w:rPr>
                <w:rFonts w:ascii="Calibri" w:hAnsi="Calibri"/>
                <w:sz w:val="22"/>
              </w:rPr>
              <w:t>"Leverage to tick up modestly as Versant exits trailing calculation; target return to ~2.3x" — Armstrong, Apr 23</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 Reaffirmed; NBCU spin-off (announced Jun 29) adds new balance sheet consideration — both entities to maintain investment-grade ratings</w:t>
            </w:r>
          </w:p>
        </w:tc>
      </w:tr>
      <w:tr>
        <w:tc>
          <w:tcPr>
            <w:tcW w:type="dxa" w:w="1728"/>
          </w:tcPr>
          <w:p>
            <w:r>
              <w:rPr>
                <w:rFonts w:ascii="Calibri" w:hAnsi="Calibri"/>
                <w:sz w:val="22"/>
              </w:rPr>
              <w:t>Capital Returns (Q1 2026 run-rate)</w:t>
            </w:r>
          </w:p>
        </w:tc>
        <w:tc>
          <w:tcPr>
            <w:tcW w:type="dxa" w:w="1728"/>
          </w:tcPr>
          <w:p>
            <w:r>
              <w:rPr>
                <w:rFonts w:ascii="Calibri" w:hAnsi="Calibri"/>
                <w:sz w:val="22"/>
              </w:rPr>
              <w:t>$2.5B returned in Q1 ($1.25B buybacks + $1.2B dividends); $11B returned in trailing 12 months</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 Reaffirmed; balanced capital return framework maintained post-Versant spin</w:t>
            </w:r>
          </w:p>
        </w:tc>
      </w:tr>
      <w:tr>
        <w:tc>
          <w:tcPr>
            <w:tcW w:type="dxa" w:w="1728"/>
          </w:tcPr>
          <w:p>
            <w:r>
              <w:rPr>
                <w:rFonts w:ascii="Calibri" w:hAnsi="Calibri"/>
                <w:sz w:val="22"/>
              </w:rPr>
              <w:t>NBCU Spin-Off</w:t>
            </w:r>
          </w:p>
        </w:tc>
        <w:tc>
          <w:tcPr>
            <w:tcW w:type="dxa" w:w="1728"/>
          </w:tcPr>
          <w:p>
            <w:r>
              <w:rPr>
                <w:rFonts w:ascii="Calibri" w:hAnsi="Calibri"/>
                <w:sz w:val="22"/>
              </w:rPr>
              <w:t>Not announced at Q1 earnings</w:t>
            </w:r>
          </w:p>
        </w:tc>
        <w:tc>
          <w:tcPr>
            <w:tcW w:type="dxa" w:w="1728"/>
          </w:tcPr>
          <w:p>
            <w:r>
              <w:rPr>
                <w:rFonts w:ascii="Calibri" w:hAnsi="Calibri"/>
                <w:sz w:val="22"/>
              </w:rPr>
              <w:t>Tax-free spin-off of NBCUniversal and Sky announced Jun 29, 2026; expected to complete in ~1 year; Michael Angelakis to be Comcast CEO; Mike Cavanagh to be NBCU CEO</w:t>
            </w:r>
          </w:p>
        </w:tc>
        <w:tc>
          <w:tcPr>
            <w:tcW w:type="dxa" w:w="1728"/>
          </w:tcPr>
          <w:p>
            <w:r>
              <w:rPr>
                <w:rFonts w:ascii="Calibri" w:hAnsi="Calibri"/>
                <w:sz w:val="22"/>
              </w:rPr>
              <w:t>N/A</w:t>
            </w:r>
          </w:p>
        </w:tc>
        <w:tc>
          <w:tcPr>
            <w:tcW w:type="dxa" w:w="1728"/>
          </w:tcPr>
          <w:p>
            <w:r>
              <w:rPr>
                <w:rFonts w:ascii="Calibri" w:hAnsi="Calibri"/>
                <w:sz w:val="22"/>
              </w:rPr>
              <w:t>↑ Major new development post-Q1; resets investment thesis; both entities to have investment-grade balance sheets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sharply lower since Q1 earnings — Q2 2026 adjusted EPS consensus has fallen ~31% from the August 2025 baseline of ~$1.09 to ~$0.96 today, reflecting the investment cycle and NBA cost headwinds. </w:t>
      </w:r>
      <w:r>
        <w:rPr>
          <w:rFonts w:ascii="Calibri" w:hAnsi="Calibri"/>
          <w:b/>
          <w:color w:val="525866"/>
          <w:sz w:val="22"/>
        </w:rPr>
        <w:t>The one positive divergence is Peacock EBITDA</w:t>
      </w:r>
      <w:r>
        <w:rPr>
          <w:rFonts w:ascii="Calibri" w:hAnsi="Calibri"/>
          <w:color w:val="525866"/>
          <w:sz w:val="22"/>
        </w:rPr>
        <w:t>, where consensus has moved from a loss to a small profit, tracking management’s confirmed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 / Mgmt Commentary</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$29.25B</w:t>
            </w:r>
          </w:p>
        </w:tc>
        <w:tc>
          <w:tcPr>
            <w:tcW w:type="dxa" w:w="1080"/>
          </w:tcPr>
          <w:p>
            <w:r>
              <w:rPr>
                <w:rFonts w:ascii="Calibri" w:hAnsi="Calibri"/>
                <w:sz w:val="22"/>
              </w:rPr>
              <w:t>$29.27B</w:t>
            </w:r>
          </w:p>
        </w:tc>
        <w:tc>
          <w:tcPr>
            <w:tcW w:type="dxa" w:w="1080"/>
          </w:tcPr>
          <w:p>
            <w:r>
              <w:rPr>
                <w:rFonts w:ascii="Calibri" w:hAnsi="Calibri"/>
                <w:sz w:val="22"/>
              </w:rPr>
              <w:t>+0.1%</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$121.81B</w:t>
            </w:r>
          </w:p>
        </w:tc>
        <w:tc>
          <w:tcPr>
            <w:tcW w:type="dxa" w:w="1080"/>
          </w:tcPr>
          <w:p>
            <w:r>
              <w:rPr>
                <w:rFonts w:ascii="Calibri" w:hAnsi="Calibri"/>
                <w:sz w:val="22"/>
              </w:rPr>
              <w:t>$121.79B</w:t>
            </w:r>
          </w:p>
        </w:tc>
        <w:tc>
          <w:tcPr>
            <w:tcW w:type="dxa" w:w="1080"/>
          </w:tcPr>
          <w:p>
            <w:r>
              <w:rPr>
                <w:rFonts w:ascii="Calibri" w:hAnsi="Calibri"/>
                <w:sz w:val="22"/>
              </w:rPr>
              <w:t>-0.0%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(Diluted Operating) — Q2 2026</w:t>
            </w:r>
          </w:p>
        </w:tc>
        <w:tc>
          <w:tcPr>
            <w:tcW w:type="dxa" w:w="1080"/>
          </w:tcPr>
          <w:p>
            <w:r>
              <w:rPr>
                <w:rFonts w:ascii="Calibri" w:hAnsi="Calibri"/>
                <w:sz w:val="22"/>
              </w:rPr>
              <w:t>$0.98</w:t>
            </w:r>
          </w:p>
        </w:tc>
        <w:tc>
          <w:tcPr>
            <w:tcW w:type="dxa" w:w="1080"/>
          </w:tcPr>
          <w:p>
            <w:r>
              <w:rPr>
                <w:rFonts w:ascii="Calibri" w:hAnsi="Calibri"/>
                <w:sz w:val="22"/>
              </w:rPr>
              <w:t>$0.96</w:t>
            </w:r>
          </w:p>
        </w:tc>
        <w:tc>
          <w:tcPr>
            <w:tcW w:type="dxa" w:w="1080"/>
          </w:tcPr>
          <w:p>
            <w:r>
              <w:rPr>
                <w:rFonts w:ascii="Calibri" w:hAnsi="Calibri"/>
                <w:sz w:val="22"/>
              </w:rPr>
              <w:t>-2.0%</w:t>
            </w:r>
          </w:p>
        </w:tc>
        <w:tc>
          <w:tcPr>
            <w:tcW w:type="dxa" w:w="1080"/>
          </w:tcPr>
          <w:p>
            <w:r>
              <w:rPr>
                <w:rFonts w:ascii="Calibri" w:hAnsi="Calibri"/>
                <w:sz w:val="22"/>
              </w:rPr>
              <w:t>No formal guidance; ARPU pressure flagged</w:t>
            </w:r>
          </w:p>
        </w:tc>
        <w:tc>
          <w:tcPr>
            <w:tcW w:type="dxa" w:w="1080"/>
          </w:tcPr>
          <w:p>
            <w:r>
              <w:rPr>
                <w:rFonts w:ascii="Calibri" w:hAnsi="Calibri"/>
                <w:sz w:val="22"/>
              </w:rPr>
              <w:t>Unchanged; incremental ARPU pressure in Q2 reaffirmed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(Diluted Operating) — FY 2026</w:t>
            </w:r>
          </w:p>
        </w:tc>
        <w:tc>
          <w:tcPr>
            <w:tcW w:type="dxa" w:w="1080"/>
          </w:tcPr>
          <w:p>
            <w:r>
              <w:rPr>
                <w:rFonts w:ascii="Calibri" w:hAnsi="Calibri"/>
                <w:sz w:val="22"/>
              </w:rPr>
              <w:t>$3.54</w:t>
            </w:r>
          </w:p>
        </w:tc>
        <w:tc>
          <w:tcPr>
            <w:tcW w:type="dxa" w:w="1080"/>
          </w:tcPr>
          <w:p>
            <w:r>
              <w:rPr>
                <w:rFonts w:ascii="Calibri" w:hAnsi="Calibri"/>
                <w:sz w:val="22"/>
              </w:rPr>
              <w:t>$3.47</w:t>
            </w:r>
          </w:p>
        </w:tc>
        <w:tc>
          <w:tcPr>
            <w:tcW w:type="dxa" w:w="1080"/>
          </w:tcPr>
          <w:p>
            <w:r>
              <w:rPr>
                <w:rFonts w:ascii="Calibri" w:hAnsi="Calibri"/>
                <w:sz w:val="22"/>
              </w:rPr>
              <w:t>-2.0%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EBITDA — Q2 2026</w:t>
            </w:r>
          </w:p>
        </w:tc>
        <w:tc>
          <w:tcPr>
            <w:tcW w:type="dxa" w:w="1080"/>
          </w:tcPr>
          <w:p>
            <w:r>
              <w:rPr>
                <w:rFonts w:ascii="Calibri" w:hAnsi="Calibri"/>
                <w:sz w:val="22"/>
              </w:rPr>
              <w:t>$8.85B</w:t>
            </w:r>
          </w:p>
        </w:tc>
        <w:tc>
          <w:tcPr>
            <w:tcW w:type="dxa" w:w="1080"/>
          </w:tcPr>
          <w:p>
            <w:r>
              <w:rPr>
                <w:rFonts w:ascii="Calibri" w:hAnsi="Calibri"/>
                <w:sz w:val="22"/>
              </w:rPr>
              <w:t>$8.86B</w:t>
            </w:r>
          </w:p>
        </w:tc>
        <w:tc>
          <w:tcPr>
            <w:tcW w:type="dxa" w:w="1080"/>
          </w:tcPr>
          <w:p>
            <w:r>
              <w:rPr>
                <w:rFonts w:ascii="Calibri" w:hAnsi="Calibri"/>
                <w:sz w:val="22"/>
              </w:rPr>
              <w:t>+0.1%</w:t>
            </w:r>
          </w:p>
        </w:tc>
        <w:tc>
          <w:tcPr>
            <w:tcW w:type="dxa" w:w="1080"/>
          </w:tcPr>
          <w:p>
            <w:r>
              <w:rPr>
                <w:rFonts w:ascii="Calibri" w:hAnsi="Calibri"/>
                <w:sz w:val="22"/>
              </w:rPr>
              <w:t>Incremental pressure in Q2 vs. Q1; relief as year progresses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EBITDA — FY 2026</w:t>
            </w:r>
          </w:p>
        </w:tc>
        <w:tc>
          <w:tcPr>
            <w:tcW w:type="dxa" w:w="1080"/>
          </w:tcPr>
          <w:p>
            <w:r>
              <w:rPr>
                <w:rFonts w:ascii="Calibri" w:hAnsi="Calibri"/>
                <w:sz w:val="22"/>
              </w:rPr>
              <w:t>$33.49B</w:t>
            </w:r>
          </w:p>
        </w:tc>
        <w:tc>
          <w:tcPr>
            <w:tcW w:type="dxa" w:w="1080"/>
          </w:tcPr>
          <w:p>
            <w:r>
              <w:rPr>
                <w:rFonts w:ascii="Calibri" w:hAnsi="Calibri"/>
                <w:sz w:val="22"/>
              </w:rPr>
              <w:t>$33.50B</w:t>
            </w:r>
          </w:p>
        </w:tc>
        <w:tc>
          <w:tcPr>
            <w:tcW w:type="dxa" w:w="1080"/>
          </w:tcPr>
          <w:p>
            <w:r>
              <w:rPr>
                <w:rFonts w:ascii="Calibri" w:hAnsi="Calibri"/>
                <w:sz w:val="22"/>
              </w:rPr>
              <w:t>+0.0%</w:t>
            </w:r>
          </w:p>
        </w:tc>
        <w:tc>
          <w:tcPr>
            <w:tcW w:type="dxa" w:w="1080"/>
          </w:tcPr>
          <w:p>
            <w:r>
              <w:rPr>
                <w:rFonts w:ascii="Calibri" w:hAnsi="Calibri"/>
                <w:sz w:val="22"/>
              </w:rPr>
              <w:t>No formal FY guidance</w:t>
            </w:r>
          </w:p>
        </w:tc>
        <w:tc>
          <w:tcPr>
            <w:tcW w:type="dxa" w:w="1080"/>
          </w:tcPr>
          <w:p>
            <w:r>
              <w:rPr>
                <w:rFonts w:ascii="Calibri" w:hAnsi="Calibri"/>
                <w:sz w:val="22"/>
              </w:rPr>
              <w:t>No formal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Broadband Net Adds — Q2 2026 (K)</w:t>
            </w:r>
          </w:p>
        </w:tc>
        <w:tc>
          <w:tcPr>
            <w:tcW w:type="dxa" w:w="1080"/>
          </w:tcPr>
          <w:p>
            <w:r>
              <w:rPr>
                <w:rFonts w:ascii="Calibri" w:hAnsi="Calibri"/>
                <w:sz w:val="22"/>
              </w:rPr>
              <w:t>-162K</w:t>
            </w:r>
          </w:p>
        </w:tc>
        <w:tc>
          <w:tcPr>
            <w:tcW w:type="dxa" w:w="1080"/>
          </w:tcPr>
          <w:p>
            <w:r>
              <w:rPr>
                <w:rFonts w:ascii="Calibri" w:hAnsi="Calibri"/>
                <w:sz w:val="22"/>
              </w:rPr>
              <w:t>-165K</w:t>
            </w:r>
          </w:p>
        </w:tc>
        <w:tc>
          <w:tcPr>
            <w:tcW w:type="dxa" w:w="1080"/>
          </w:tcPr>
          <w:p>
            <w:r>
              <w:rPr>
                <w:rFonts w:ascii="Calibri" w:hAnsi="Calibri"/>
                <w:sz w:val="22"/>
              </w:rPr>
              <w:t>-1.9% (worse)</w:t>
            </w:r>
          </w:p>
        </w:tc>
        <w:tc>
          <w:tcPr>
            <w:tcW w:type="dxa" w:w="1080"/>
          </w:tcPr>
          <w:p>
            <w:r>
              <w:rPr>
                <w:rFonts w:ascii="Calibri" w:hAnsi="Calibri"/>
                <w:sz w:val="22"/>
              </w:rPr>
              <w:t>YoY improvement for FY; Q2 sequential deterioration expected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tracking guidance direction</w:t>
            </w:r>
          </w:p>
        </w:tc>
      </w:tr>
      <w:tr>
        <w:tc>
          <w:tcPr>
            <w:tcW w:type="dxa" w:w="1080"/>
          </w:tcPr>
          <w:p>
            <w:r>
              <w:rPr>
                <w:rFonts w:ascii="Calibri" w:hAnsi="Calibri"/>
                <w:sz w:val="22"/>
              </w:rPr>
              <w:t>Peacock EBITDA — Q2 2026</w:t>
            </w:r>
          </w:p>
        </w:tc>
        <w:tc>
          <w:tcPr>
            <w:tcW w:type="dxa" w:w="1080"/>
          </w:tcPr>
          <w:p>
            <w:r>
              <w:rPr>
                <w:rFonts w:ascii="Calibri" w:hAnsi="Calibri"/>
                <w:sz w:val="22"/>
              </w:rPr>
              <w:t>~+$6M</w:t>
            </w:r>
          </w:p>
        </w:tc>
        <w:tc>
          <w:tcPr>
            <w:tcW w:type="dxa" w:w="1080"/>
          </w:tcPr>
          <w:p>
            <w:r>
              <w:rPr>
                <w:rFonts w:ascii="Calibri" w:hAnsi="Calibri"/>
                <w:sz w:val="22"/>
              </w:rPr>
              <w:t>~+$27M</w:t>
            </w:r>
          </w:p>
        </w:tc>
        <w:tc>
          <w:tcPr>
            <w:tcW w:type="dxa" w:w="1080"/>
          </w:tcPr>
          <w:p>
            <w:r>
              <w:rPr>
                <w:rFonts w:ascii="Calibri" w:hAnsi="Calibri"/>
                <w:sz w:val="22"/>
              </w:rPr>
              <w:t>+350% (improving)</w:t>
            </w:r>
          </w:p>
        </w:tc>
        <w:tc>
          <w:tcPr>
            <w:tcW w:type="dxa" w:w="1080"/>
          </w:tcPr>
          <w:p>
            <w:r>
              <w:rPr>
                <w:rFonts w:ascii="Calibri" w:hAnsi="Calibri"/>
                <w:sz w:val="22"/>
              </w:rPr>
              <w:t>"Approach profitability" — Cavanagh, Apr 23</w:t>
            </w:r>
          </w:p>
        </w:tc>
        <w:tc>
          <w:tcPr>
            <w:tcW w:type="dxa" w:w="1080"/>
          </w:tcPr>
          <w:p>
            <w:r>
              <w:rPr>
                <w:rFonts w:ascii="Calibri" w:hAnsi="Calibri"/>
                <w:sz w:val="22"/>
              </w:rPr>
              <w:t>"Will be profitable in Q2" — Strauss confirmed, Jun 2</w:t>
            </w:r>
          </w:p>
        </w:tc>
        <w:tc>
          <w:tcPr>
            <w:tcW w:type="dxa" w:w="1080"/>
          </w:tcPr>
          <w:p>
            <w:r>
              <w:rPr>
                <w:rFonts w:ascii="Calibri" w:hAnsi="Calibri"/>
                <w:sz w:val="22"/>
              </w:rPr>
              <w:t>↑ Upgraded</w:t>
            </w:r>
          </w:p>
        </w:tc>
        <w:tc>
          <w:tcPr>
            <w:tcW w:type="dxa" w:w="1080"/>
          </w:tcPr>
          <w:p>
            <w:r>
              <w:rPr>
                <w:rFonts w:ascii="Calibri" w:hAnsi="Calibri"/>
                <w:sz w:val="22"/>
              </w:rPr>
              <w:t>Consensus tracking confirmed guidance; modest upside possible</w:t>
            </w:r>
          </w:p>
        </w:tc>
      </w:tr>
      <w:tr>
        <w:tc>
          <w:tcPr>
            <w:tcW w:type="dxa" w:w="1080"/>
          </w:tcPr>
          <w:p>
            <w:r>
              <w:rPr>
                <w:rFonts w:ascii="Calibri" w:hAnsi="Calibri"/>
                <w:sz w:val="22"/>
              </w:rPr>
              <w:t>Free Cash Flow — Q2 2026</w:t>
            </w:r>
          </w:p>
        </w:tc>
        <w:tc>
          <w:tcPr>
            <w:tcW w:type="dxa" w:w="1080"/>
          </w:tcPr>
          <w:p>
            <w:r>
              <w:rPr>
                <w:rFonts w:ascii="Calibri" w:hAnsi="Calibri"/>
                <w:sz w:val="22"/>
              </w:rPr>
              <w:t>$3.69B</w:t>
            </w:r>
          </w:p>
        </w:tc>
        <w:tc>
          <w:tcPr>
            <w:tcW w:type="dxa" w:w="1080"/>
          </w:tcPr>
          <w:p>
            <w:r>
              <w:rPr>
                <w:rFonts w:ascii="Calibri" w:hAnsi="Calibri"/>
                <w:sz w:val="22"/>
              </w:rPr>
              <w:t>$3.74B</w:t>
            </w:r>
          </w:p>
        </w:tc>
        <w:tc>
          <w:tcPr>
            <w:tcW w:type="dxa" w:w="1080"/>
          </w:tcPr>
          <w:p>
            <w:r>
              <w:rPr>
                <w:rFonts w:ascii="Calibri" w:hAnsi="Calibri"/>
                <w:sz w:val="22"/>
              </w:rPr>
              <w:t>+1.4%</w:t>
            </w:r>
          </w:p>
        </w:tc>
        <w:tc>
          <w:tcPr>
            <w:tcW w:type="dxa" w:w="1080"/>
          </w:tcPr>
          <w:p>
            <w:r>
              <w:rPr>
                <w:rFonts w:ascii="Calibri" w:hAnsi="Calibri"/>
                <w:sz w:val="22"/>
              </w:rPr>
              <w:t>No formal Q2 FCF guidance</w:t>
            </w:r>
          </w:p>
        </w:tc>
        <w:tc>
          <w:tcPr>
            <w:tcW w:type="dxa" w:w="1080"/>
          </w:tcPr>
          <w:p>
            <w:r>
              <w:rPr>
                <w:rFonts w:ascii="Calibri" w:hAnsi="Calibri"/>
                <w:sz w:val="22"/>
              </w:rPr>
              <w:t>No formal Q2 FCF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color w:val="525866"/>
          <w:sz w:val="22"/>
        </w:rPr>
        <w:t xml:space="preserve">Note: </w:t>
      </w:r>
      <w:r>
        <w:rPr>
          <w:rFonts w:ascii="Calibri" w:hAnsi="Calibri"/>
          <w:i/>
          <w:color w:val="525866"/>
          <w:sz w:val="22"/>
        </w:rPr>
        <w:t>Revenue and EBITDA estimates have been remarkably stable since Q1 earnings (essentially flat), suggesting the Street has already fully digested the Olympic/Super Bowl comp headwind and the investment cycle. The meaningful downward revision in EPS (from ~$1.09 in Aug 2025 to ~$0.96 today) reflects the cumulative impact of NBA rights costs, broadband ARPU pressure, and free wireless line dilution that has been building over the past year. Peacock EBITDA is the one KPI where estimates have moved positively, tracking management’s upgraded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CMCSA has dramatically underperformed both XLC and the S&amp;P 500 since Q1 earnings — down ~26% vs. XLC down ~7% and SPY up ~5% — driven almost entirely by </w:t>
      </w:r>
      <w:r>
        <w:rPr>
          <w:rFonts w:ascii="Calibri" w:hAnsi="Calibri"/>
          <w:b/>
          <w:color w:val="525866"/>
          <w:sz w:val="22"/>
        </w:rPr>
        <w:t>multiple compression</w:t>
      </w:r>
      <w:r>
        <w:rPr>
          <w:rFonts w:ascii="Calibri" w:hAnsi="Calibri"/>
          <w:color w:val="525866"/>
          <w:sz w:val="22"/>
        </w:rPr>
        <w:t xml:space="preserve"> (EV/EBITDA contracted ~13% over 3 months) rather than estimate cuts, suggesting sentiment and structural re-rating concerns (spin-off uncertainty, satellite competition fears) are the primary driver, not fundamentals.</w:t>
      </w:r>
    </w:p>
    <w:p>
      <w:r>
        <w:rPr>
          <w:rFonts w:ascii="Calibri" w:hAnsi="Calibri"/>
          <w:b/>
          <w:color w:val="525866"/>
          <w:sz w:val="22"/>
        </w:rPr>
        <w:t>Chart: CMCSA vs. XLC (Communication Services ETF) vs. S&amp;P 500 (SPY) — Indexed to 100 at April 23,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CMCSA (Indexed)</w:t>
            </w:r>
          </w:p>
        </w:tc>
        <w:tc>
          <w:tcPr>
            <w:tcW w:type="dxa" w:w="2160"/>
            <w:shd w:val="clear" w:color="auto" w:fill="3B4259"/>
          </w:tcPr>
          <w:p>
            <w:r>
              <w:rPr>
                <w:rFonts w:ascii="Calibri" w:hAnsi="Calibri"/>
                <w:b/>
                <w:color w:val="FFFFFF"/>
                <w:sz w:val="22"/>
              </w:rPr>
              <w:t>XLC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23,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24, 2026 (Day after earnings)</w:t>
            </w:r>
          </w:p>
        </w:tc>
        <w:tc>
          <w:tcPr>
            <w:tcW w:type="dxa" w:w="2160"/>
          </w:tcPr>
          <w:p>
            <w:r>
              <w:rPr>
                <w:rFonts w:ascii="Calibri" w:hAnsi="Calibri"/>
                <w:sz w:val="22"/>
              </w:rPr>
              <w:t>87.1</w:t>
            </w:r>
          </w:p>
        </w:tc>
        <w:tc>
          <w:tcPr>
            <w:tcW w:type="dxa" w:w="2160"/>
          </w:tcPr>
          <w:p>
            <w:r>
              <w:rPr>
                <w:rFonts w:ascii="Calibri" w:hAnsi="Calibri"/>
                <w:sz w:val="22"/>
              </w:rPr>
              <w:t>98.4</w:t>
            </w:r>
          </w:p>
        </w:tc>
        <w:tc>
          <w:tcPr>
            <w:tcW w:type="dxa" w:w="2160"/>
          </w:tcPr>
          <w:p>
            <w:r>
              <w:rPr>
                <w:rFonts w:ascii="Calibri" w:hAnsi="Calibri"/>
                <w:sz w:val="22"/>
              </w:rPr>
              <w:t>100.8</w:t>
            </w:r>
          </w:p>
        </w:tc>
      </w:tr>
      <w:tr>
        <w:tc>
          <w:tcPr>
            <w:tcW w:type="dxa" w:w="2160"/>
          </w:tcPr>
          <w:p>
            <w:r>
              <w:rPr>
                <w:rFonts w:ascii="Calibri" w:hAnsi="Calibri"/>
                <w:sz w:val="22"/>
              </w:rPr>
              <w:t>May 8, 2026</w:t>
            </w:r>
          </w:p>
        </w:tc>
        <w:tc>
          <w:tcPr>
            <w:tcW w:type="dxa" w:w="2160"/>
          </w:tcPr>
          <w:p>
            <w:r>
              <w:rPr>
                <w:rFonts w:ascii="Calibri" w:hAnsi="Calibri"/>
                <w:sz w:val="22"/>
              </w:rPr>
              <w:t>80.3</w:t>
            </w:r>
          </w:p>
        </w:tc>
        <w:tc>
          <w:tcPr>
            <w:tcW w:type="dxa" w:w="2160"/>
          </w:tcPr>
          <w:p>
            <w:r>
              <w:rPr>
                <w:rFonts w:ascii="Calibri" w:hAnsi="Calibri"/>
                <w:sz w:val="22"/>
              </w:rPr>
              <w:t>99.6</w:t>
            </w:r>
          </w:p>
        </w:tc>
        <w:tc>
          <w:tcPr>
            <w:tcW w:type="dxa" w:w="2160"/>
          </w:tcPr>
          <w:p>
            <w:r>
              <w:rPr>
                <w:rFonts w:ascii="Calibri" w:hAnsi="Calibri"/>
                <w:sz w:val="22"/>
              </w:rPr>
              <w:t>104.1</w:t>
            </w:r>
          </w:p>
        </w:tc>
      </w:tr>
      <w:tr>
        <w:tc>
          <w:tcPr>
            <w:tcW w:type="dxa" w:w="2160"/>
          </w:tcPr>
          <w:p>
            <w:r>
              <w:rPr>
                <w:rFonts w:ascii="Calibri" w:hAnsi="Calibri"/>
                <w:sz w:val="22"/>
              </w:rPr>
              <w:t>Jun 2, 2026 (Evercore Conference — Peacock profitable confirmed)</w:t>
            </w:r>
          </w:p>
        </w:tc>
        <w:tc>
          <w:tcPr>
            <w:tcW w:type="dxa" w:w="2160"/>
          </w:tcPr>
          <w:p>
            <w:r>
              <w:rPr>
                <w:rFonts w:ascii="Calibri" w:hAnsi="Calibri"/>
                <w:sz w:val="22"/>
              </w:rPr>
              <w:t>78.5</w:t>
            </w:r>
          </w:p>
        </w:tc>
        <w:tc>
          <w:tcPr>
            <w:tcW w:type="dxa" w:w="2160"/>
          </w:tcPr>
          <w:p>
            <w:r>
              <w:rPr>
                <w:rFonts w:ascii="Calibri" w:hAnsi="Calibri"/>
                <w:sz w:val="22"/>
              </w:rPr>
              <w:t>96.8</w:t>
            </w:r>
          </w:p>
        </w:tc>
        <w:tc>
          <w:tcPr>
            <w:tcW w:type="dxa" w:w="2160"/>
          </w:tcPr>
          <w:p>
            <w:r>
              <w:rPr>
                <w:rFonts w:ascii="Calibri" w:hAnsi="Calibri"/>
                <w:sz w:val="22"/>
              </w:rPr>
              <w:t>107.2</w:t>
            </w:r>
          </w:p>
        </w:tc>
      </w:tr>
      <w:tr>
        <w:tc>
          <w:tcPr>
            <w:tcW w:type="dxa" w:w="2160"/>
          </w:tcPr>
          <w:p>
            <w:r>
              <w:rPr>
                <w:rFonts w:ascii="Calibri" w:hAnsi="Calibri"/>
                <w:sz w:val="22"/>
              </w:rPr>
              <w:t>Jun 17, 2026</w:t>
            </w:r>
          </w:p>
        </w:tc>
        <w:tc>
          <w:tcPr>
            <w:tcW w:type="dxa" w:w="2160"/>
          </w:tcPr>
          <w:p>
            <w:r>
              <w:rPr>
                <w:rFonts w:ascii="Calibri" w:hAnsi="Calibri"/>
                <w:sz w:val="22"/>
              </w:rPr>
              <w:t>71.7</w:t>
            </w:r>
          </w:p>
        </w:tc>
        <w:tc>
          <w:tcPr>
            <w:tcW w:type="dxa" w:w="2160"/>
          </w:tcPr>
          <w:p>
            <w:r>
              <w:rPr>
                <w:rFonts w:ascii="Calibri" w:hAnsi="Calibri"/>
                <w:sz w:val="22"/>
              </w:rPr>
              <w:t>93.1</w:t>
            </w:r>
          </w:p>
        </w:tc>
        <w:tc>
          <w:tcPr>
            <w:tcW w:type="dxa" w:w="2160"/>
          </w:tcPr>
          <w:p>
            <w:r>
              <w:rPr>
                <w:rFonts w:ascii="Calibri" w:hAnsi="Calibri"/>
                <w:sz w:val="22"/>
              </w:rPr>
              <w:t>104.6</w:t>
            </w:r>
          </w:p>
        </w:tc>
      </w:tr>
      <w:tr>
        <w:tc>
          <w:tcPr>
            <w:tcW w:type="dxa" w:w="2160"/>
          </w:tcPr>
          <w:p>
            <w:r>
              <w:rPr>
                <w:rFonts w:ascii="Calibri" w:hAnsi="Calibri"/>
                <w:sz w:val="22"/>
              </w:rPr>
              <w:t>Jun 29, 2026 (NBCU Spin-Off Announced)</w:t>
            </w:r>
          </w:p>
        </w:tc>
        <w:tc>
          <w:tcPr>
            <w:tcW w:type="dxa" w:w="2160"/>
          </w:tcPr>
          <w:p>
            <w:r>
              <w:rPr>
                <w:rFonts w:ascii="Calibri" w:hAnsi="Calibri"/>
                <w:sz w:val="22"/>
              </w:rPr>
              <w:t>76.5</w:t>
            </w:r>
          </w:p>
        </w:tc>
        <w:tc>
          <w:tcPr>
            <w:tcW w:type="dxa" w:w="2160"/>
          </w:tcPr>
          <w:p>
            <w:r>
              <w:rPr>
                <w:rFonts w:ascii="Calibri" w:hAnsi="Calibri"/>
                <w:sz w:val="22"/>
              </w:rPr>
              <w:t>91.9</w:t>
            </w:r>
          </w:p>
        </w:tc>
        <w:tc>
          <w:tcPr>
            <w:tcW w:type="dxa" w:w="2160"/>
          </w:tcPr>
          <w:p>
            <w:r>
              <w:rPr>
                <w:rFonts w:ascii="Calibri" w:hAnsi="Calibri"/>
                <w:sz w:val="22"/>
              </w:rPr>
              <w:t>104.6</w:t>
            </w:r>
          </w:p>
        </w:tc>
      </w:tr>
      <w:tr>
        <w:tc>
          <w:tcPr>
            <w:tcW w:type="dxa" w:w="2160"/>
          </w:tcPr>
          <w:p>
            <w:r>
              <w:rPr>
                <w:rFonts w:ascii="Calibri" w:hAnsi="Calibri"/>
                <w:sz w:val="22"/>
              </w:rPr>
              <w:t>Jul 8, 2026 (SpaceX/Charter mobile talks reported)</w:t>
            </w:r>
          </w:p>
        </w:tc>
        <w:tc>
          <w:tcPr>
            <w:tcW w:type="dxa" w:w="2160"/>
          </w:tcPr>
          <w:p>
            <w:r>
              <w:rPr>
                <w:rFonts w:ascii="Calibri" w:hAnsi="Calibri"/>
                <w:sz w:val="22"/>
              </w:rPr>
              <w:t>73.3</w:t>
            </w:r>
          </w:p>
        </w:tc>
        <w:tc>
          <w:tcPr>
            <w:tcW w:type="dxa" w:w="2160"/>
          </w:tcPr>
          <w:p>
            <w:r>
              <w:rPr>
                <w:rFonts w:ascii="Calibri" w:hAnsi="Calibri"/>
                <w:sz w:val="22"/>
              </w:rPr>
              <w:t>93.3</w:t>
            </w:r>
          </w:p>
        </w:tc>
        <w:tc>
          <w:tcPr>
            <w:tcW w:type="dxa" w:w="2160"/>
          </w:tcPr>
          <w:p>
            <w:r>
              <w:rPr>
                <w:rFonts w:ascii="Calibri" w:hAnsi="Calibri"/>
                <w:sz w:val="22"/>
              </w:rPr>
              <w:t>105.2</w:t>
            </w:r>
          </w:p>
        </w:tc>
      </w:tr>
      <w:tr>
        <w:tc>
          <w:tcPr>
            <w:tcW w:type="dxa" w:w="2160"/>
          </w:tcPr>
          <w:p>
            <w:r>
              <w:rPr>
                <w:rFonts w:ascii="Calibri" w:hAnsi="Calibri"/>
                <w:sz w:val="22"/>
              </w:rPr>
              <w:t>Jul 22, 2026 (Day before Q2 earnings)</w:t>
            </w:r>
          </w:p>
        </w:tc>
        <w:tc>
          <w:tcPr>
            <w:tcW w:type="dxa" w:w="2160"/>
          </w:tcPr>
          <w:p>
            <w:r>
              <w:rPr>
                <w:rFonts w:ascii="Calibri" w:hAnsi="Calibri"/>
                <w:sz w:val="22"/>
              </w:rPr>
              <w:t>74.3</w:t>
            </w:r>
          </w:p>
        </w:tc>
        <w:tc>
          <w:tcPr>
            <w:tcW w:type="dxa" w:w="2160"/>
          </w:tcPr>
          <w:p>
            <w:r>
              <w:rPr>
                <w:rFonts w:ascii="Calibri" w:hAnsi="Calibri"/>
                <w:sz w:val="22"/>
              </w:rPr>
              <w:t>93.0</w:t>
            </w:r>
          </w:p>
        </w:tc>
        <w:tc>
          <w:tcPr>
            <w:tcW w:type="dxa" w:w="2160"/>
          </w:tcPr>
          <w:p>
            <w:r>
              <w:rPr>
                <w:rFonts w:ascii="Calibri" w:hAnsi="Calibri"/>
                <w:sz w:val="22"/>
              </w:rPr>
              <w:t>105.5</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Apr 23, 2026:</w:t>
      </w:r>
      <w:r>
        <w:rPr>
          <w:rFonts w:ascii="Calibri" w:hAnsi="Calibri"/>
          <w:color w:val="525866"/>
          <w:sz w:val="22"/>
        </w:rPr>
        <w:t xml:space="preserve"> Q1 2026 earnings beat; stock fell ~13% the following day despite the beat, as investors focused on ARPU pressure and the investment cycle.</w:t>
      </w:r>
    </w:p>
    <w:p>
      <w:pPr>
        <w:pStyle w:val="ListBullet"/>
        <w:ind w:left="360" w:hanging="360"/>
      </w:pPr>
      <w:r>
        <w:rPr>
          <w:rFonts w:ascii="Calibri" w:hAnsi="Calibri"/>
          <w:b/>
          <w:color w:val="525866"/>
          <w:sz w:val="22"/>
        </w:rPr>
        <w:t>Jun 2, 2026:</w:t>
      </w:r>
      <w:r>
        <w:rPr>
          <w:rFonts w:ascii="Calibri" w:hAnsi="Calibri"/>
          <w:color w:val="525866"/>
          <w:sz w:val="22"/>
        </w:rPr>
        <w:t xml:space="preserve"> Evercore TMT Conference — Matt Strauss confirmed Peacock will be profitable in Q2; also acknowledged emerging domestic parks softness.</w:t>
      </w:r>
    </w:p>
    <w:p>
      <w:pPr>
        <w:pStyle w:val="ListBullet"/>
        <w:ind w:left="360" w:hanging="360"/>
      </w:pPr>
      <w:r>
        <w:rPr>
          <w:rFonts w:ascii="Calibri" w:hAnsi="Calibri"/>
          <w:b/>
          <w:color w:val="525866"/>
          <w:sz w:val="22"/>
        </w:rPr>
        <w:t>Jun 29, 2026:</w:t>
      </w:r>
      <w:r>
        <w:rPr>
          <w:rFonts w:ascii="Calibri" w:hAnsi="Calibri"/>
          <w:color w:val="525866"/>
          <w:sz w:val="22"/>
        </w:rPr>
        <w:t xml:space="preserve"> NBCU Spin-Off Announced — stock surged ~7% on the day; Charter also surged on speculation of cable consolidation following the announcement.</w:t>
      </w:r>
    </w:p>
    <w:p>
      <w:pPr>
        <w:pStyle w:val="ListBullet"/>
        <w:ind w:left="360" w:hanging="360"/>
      </w:pPr>
      <w:r>
        <w:rPr>
          <w:rFonts w:ascii="Calibri" w:hAnsi="Calibri"/>
          <w:b/>
          <w:color w:val="525866"/>
          <w:sz w:val="22"/>
        </w:rPr>
        <w:t>Jun 29, 2026:</w:t>
      </w:r>
      <w:r>
        <w:rPr>
          <w:rFonts w:ascii="Calibri" w:hAnsi="Calibri"/>
          <w:color w:val="525866"/>
          <w:sz w:val="22"/>
        </w:rPr>
        <w:t xml:space="preserve"> SpaceX/Charter mobile partnership talks reported — weighed on Verizon, AT&amp;T, and T-Mobile; indirect competitive concern for Comcast wireless.</w:t>
      </w:r>
    </w:p>
    <w:p>
      <w:pPr>
        <w:pStyle w:val="ListBullet"/>
        <w:ind w:left="360" w:hanging="360"/>
      </w:pPr>
      <w:r>
        <w:rPr>
          <w:rFonts w:ascii="Calibri" w:hAnsi="Calibri"/>
          <w:b/>
          <w:color w:val="525866"/>
          <w:sz w:val="22"/>
        </w:rPr>
        <w:t>Jul 8, 2026:</w:t>
      </w:r>
      <w:r>
        <w:rPr>
          <w:rFonts w:ascii="Calibri" w:hAnsi="Calibri"/>
          <w:color w:val="525866"/>
          <w:sz w:val="22"/>
        </w:rPr>
        <w:t xml:space="preserve"> Analysts re-evaluated telecom/cable on Starlink competitive threat; Barclays, Wells Fargo, Morgan Stanley cut price targets on Verizon.</w:t>
      </w:r>
    </w:p>
    <w:p>
      <w:r>
        <w:rPr>
          <w:rFonts w:ascii="Calibri" w:hAnsi="Calibri"/>
          <w:b/>
          <w:color w:val="525866"/>
          <w:sz w:val="22"/>
        </w:rPr>
        <w:t>Performance Summary (Apr 23 – Jul 22, 2026):</w:t>
      </w:r>
      <w:r>
        <w:rPr>
          <w:rFonts w:ascii="Calibri" w:hAnsi="Calibri"/>
          <w:color w:val="525866"/>
          <w:sz w:val="22"/>
        </w:rPr>
        <w:t xml:space="preserve"> CMCSA: -25.7% | XLC: -7.0% | SPY: +5.5%. Source: Stock Price Data (Yahoo Finance).</w:t>
      </w:r>
    </w:p>
    <w:p>
      <w:r>
        <w:rPr>
          <w:rFonts w:ascii="Calibri" w:hAnsi="Calibri"/>
          <w:b/>
          <w:color w:val="525866"/>
          <w:sz w:val="22"/>
        </w:rPr>
        <w:t>Valuation Context:</w:t>
      </w:r>
      <w:r>
        <w:rPr>
          <w:rFonts w:ascii="Calibri" w:hAnsi="Calibri"/>
          <w:color w:val="525866"/>
          <w:sz w:val="22"/>
        </w:rPr>
        <w:t xml:space="preserve"> CMCSA trades at 5.05x NTM EV/EBITDA (vs. ~5.8x at Q1 earnings), 7.8x NTM P/E, and 6.1x NTM P/FCF — among the lowest valuations in the S&amp;P 500. The 3-month EV/EBITDA multiple contracted ~13%, accounting for the majority of the stock’s underperformance vs. the market. The stock is down ~28% over the trailing 12 months.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NBCU spin-off announcement on June 29</w:t>
      </w:r>
      <w:r>
        <w:rPr>
          <w:rFonts w:ascii="Calibri" w:hAnsi="Calibri"/>
          <w:color w:val="525866"/>
          <w:sz w:val="22"/>
        </w:rPr>
        <w:t xml:space="preserve"> is the most consequential development since Q1 earnings, fundamentally resetting the investment thesis; the Q2 call will be the first opportunity for management to provide detailed financial structure, capital allocation, and timeline guidance for the separation.</w:t>
      </w:r>
    </w:p>
    <w:p>
      <w:pPr>
        <w:pStyle w:val="ListBullet"/>
        <w:ind w:left="360" w:hanging="360"/>
      </w:pPr>
      <w:r>
        <w:rPr>
          <w:rFonts w:ascii="Calibri" w:hAnsi="Calibri"/>
          <w:b/>
          <w:color w:val="525866"/>
          <w:sz w:val="22"/>
        </w:rPr>
        <w:t>Jun 29, 2026 — NBCU Spin-Off Announced (Major):</w:t>
      </w:r>
      <w:r>
        <w:rPr>
          <w:rFonts w:ascii="Calibri" w:hAnsi="Calibri"/>
          <w:color w:val="525866"/>
          <w:sz w:val="22"/>
        </w:rPr>
        <w:t xml:space="preserve"> Comcast announced a tax-free spin-off of NBCUniversal and Sky into a separate publicly traded company, expected to complete in ~1 year. Mike Cavanagh to be NBCU CEO; Michael Angelakis (former CFO) to be Comcast CEO; Brian Roberts to remain actively involved in both. Both entities to maintain investment-grade balance sheets. </w:t>
      </w:r>
      <w:r>
        <w:rPr>
          <w:rFonts w:ascii="Calibri" w:hAnsi="Calibri"/>
          <w:b/>
          <w:color w:val="525866"/>
          <w:sz w:val="22"/>
        </w:rPr>
        <w:t>Implication:</w:t>
      </w:r>
      <w:r>
        <w:rPr>
          <w:rFonts w:ascii="Calibri" w:hAnsi="Calibri"/>
          <w:color w:val="525866"/>
          <w:sz w:val="22"/>
        </w:rPr>
        <w:t xml:space="preserve"> Unlocks pure-play connectivity valuation for Comcast; Q2 call will be the first detailed discussion of financial structure, leverage targets, and capital allocation for each entity.</w:t>
      </w:r>
    </w:p>
    <w:p>
      <w:pPr>
        <w:pStyle w:val="ListBullet"/>
        <w:ind w:left="360" w:hanging="360"/>
      </w:pPr>
      <w:r>
        <w:rPr>
          <w:rFonts w:ascii="Calibri" w:hAnsi="Calibri"/>
          <w:b/>
          <w:color w:val="525866"/>
          <w:sz w:val="22"/>
        </w:rPr>
        <w:t>Jul 20, 2026 — ‘The Odyssey’ Box Office (Positive):</w:t>
      </w:r>
      <w:r>
        <w:rPr>
          <w:rFonts w:ascii="Calibri" w:hAnsi="Calibri"/>
          <w:color w:val="525866"/>
          <w:sz w:val="22"/>
        </w:rPr>
        <w:t xml:space="preserve"> Christopher Nolan’s The Odyssey (Universal/Comcast) generated ~$125M domestic and ~$140M international in its opening weekend, a strong result. </w:t>
      </w:r>
      <w:r>
        <w:rPr>
          <w:rFonts w:ascii="Calibri" w:hAnsi="Calibri"/>
          <w:b/>
          <w:color w:val="525866"/>
          <w:sz w:val="22"/>
        </w:rPr>
        <w:t>Implication:</w:t>
      </w:r>
      <w:r>
        <w:rPr>
          <w:rFonts w:ascii="Calibri" w:hAnsi="Calibri"/>
          <w:color w:val="525866"/>
          <w:sz w:val="22"/>
        </w:rPr>
        <w:t xml:space="preserve"> Positive read-through for Studios segment in Q3 2026; Super Mario Galaxy franchise has cumulatively grossed nearly $2B worldwide.</w:t>
      </w:r>
    </w:p>
    <w:p>
      <w:pPr>
        <w:pStyle w:val="ListBullet"/>
        <w:ind w:left="360" w:hanging="360"/>
      </w:pPr>
      <w:r>
        <w:rPr>
          <w:rFonts w:ascii="Calibri" w:hAnsi="Calibri"/>
          <w:b/>
          <w:color w:val="525866"/>
          <w:sz w:val="22"/>
        </w:rPr>
        <w:t>Jun 29, 2026 — SpaceX/Charter Mobile Partnership Talks Reported:</w:t>
      </w:r>
      <w:r>
        <w:rPr>
          <w:rFonts w:ascii="Calibri" w:hAnsi="Calibri"/>
          <w:color w:val="525866"/>
          <w:sz w:val="22"/>
        </w:rPr>
        <w:t xml:space="preserve"> Bloomberg reported SpaceX and Charter discussed a mobile phone partnership in the US. Verizon, AT&amp;T, and T-Mobile fell sharply. </w:t>
      </w:r>
      <w:r>
        <w:rPr>
          <w:rFonts w:ascii="Calibri" w:hAnsi="Calibri"/>
          <w:b/>
          <w:color w:val="525866"/>
          <w:sz w:val="22"/>
        </w:rPr>
        <w:t>Implication:</w:t>
      </w:r>
      <w:r>
        <w:rPr>
          <w:rFonts w:ascii="Calibri" w:hAnsi="Calibri"/>
          <w:color w:val="525866"/>
          <w:sz w:val="22"/>
        </w:rPr>
        <w:t xml:space="preserve"> Indirect competitive concern for Comcast Xfinity Mobile (MVNO on Verizon); a Charter-SpaceX mobile product could intensify competition in Comcast’s cable footprint.</w:t>
      </w:r>
    </w:p>
    <w:p>
      <w:pPr>
        <w:pStyle w:val="ListBullet"/>
        <w:ind w:left="360" w:hanging="360"/>
      </w:pPr>
      <w:r>
        <w:rPr>
          <w:rFonts w:ascii="Calibri" w:hAnsi="Calibri"/>
          <w:b/>
          <w:color w:val="525866"/>
          <w:sz w:val="22"/>
        </w:rPr>
        <w:t>Jun 2, 2026 — Evercore TMT Conference (Peacock Profitability Confirmed):</w:t>
      </w:r>
      <w:r>
        <w:rPr>
          <w:rFonts w:ascii="Calibri" w:hAnsi="Calibri"/>
          <w:color w:val="525866"/>
          <w:sz w:val="22"/>
        </w:rPr>
        <w:t xml:space="preserve"> Matt Strauss confirmed Peacock will be profitable in Q2 2026, upgrading from Q1’s ‘approach profitability’ language. Also acknowledged emerging domestic parks softness. </w:t>
      </w:r>
      <w:r>
        <w:rPr>
          <w:rFonts w:ascii="Calibri" w:hAnsi="Calibri"/>
          <w:b/>
          <w:color w:val="525866"/>
          <w:sz w:val="22"/>
        </w:rPr>
        <w:t>Implication:</w:t>
      </w:r>
      <w:r>
        <w:rPr>
          <w:rFonts w:ascii="Calibri" w:hAnsi="Calibri"/>
          <w:color w:val="525866"/>
          <w:sz w:val="22"/>
        </w:rPr>
        <w:t xml:space="preserve"> Removes a key overhang; straight-line NBA amortization supports ongoing profitability beyond Q2.</w:t>
      </w:r>
    </w:p>
    <w:p>
      <w:pPr>
        <w:pStyle w:val="ListBullet"/>
        <w:ind w:left="360" w:hanging="360"/>
      </w:pPr>
      <w:r>
        <w:rPr>
          <w:rFonts w:ascii="Calibri" w:hAnsi="Calibri"/>
          <w:b/>
          <w:color w:val="525866"/>
          <w:sz w:val="22"/>
        </w:rPr>
        <w:t>Jun 12, 2026 — Shareholder Vote:</w:t>
      </w:r>
      <w:r>
        <w:rPr>
          <w:rFonts w:ascii="Calibri" w:hAnsi="Calibri"/>
          <w:color w:val="525866"/>
          <w:sz w:val="22"/>
        </w:rPr>
        <w:t xml:space="preserve"> Shareholders voted down an independent chair proposal and approved executive compensation at the annual meeting. </w:t>
      </w:r>
      <w:r>
        <w:rPr>
          <w:rFonts w:ascii="Calibri" w:hAnsi="Calibri"/>
          <w:b/>
          <w:color w:val="525866"/>
          <w:sz w:val="22"/>
        </w:rPr>
        <w:t>Implication:</w:t>
      </w:r>
      <w:r>
        <w:rPr>
          <w:rFonts w:ascii="Calibri" w:hAnsi="Calibri"/>
          <w:color w:val="525866"/>
          <w:sz w:val="22"/>
        </w:rPr>
        <w:t xml:space="preserve"> No governance disruption; Roberts dual-class structure remains intact.</w:t>
      </w:r>
    </w:p>
    <w:p>
      <w:pPr>
        <w:pStyle w:val="ListBullet"/>
        <w:ind w:left="360" w:hanging="360"/>
      </w:pPr>
      <w:r>
        <w:rPr>
          <w:rFonts w:ascii="Calibri" w:hAnsi="Calibri"/>
          <w:b/>
          <w:color w:val="525866"/>
          <w:sz w:val="22"/>
        </w:rPr>
        <w:t>Jun 5, 2026 — Starlink Competitive Threat Highlighted (Barron’s):</w:t>
      </w:r>
      <w:r>
        <w:rPr>
          <w:rFonts w:ascii="Calibri" w:hAnsi="Calibri"/>
          <w:color w:val="525866"/>
          <w:sz w:val="22"/>
        </w:rPr>
        <w:t xml:space="preserve"> Barron’s reported Starlink (12M subscribers, SpaceX’s most profitable business) is increasingly threatening cable and telecom companies. </w:t>
      </w:r>
      <w:r>
        <w:rPr>
          <w:rFonts w:ascii="Calibri" w:hAnsi="Calibri"/>
          <w:b/>
          <w:color w:val="525866"/>
          <w:sz w:val="22"/>
        </w:rPr>
        <w:t>Implication:</w:t>
      </w:r>
      <w:r>
        <w:rPr>
          <w:rFonts w:ascii="Calibri" w:hAnsi="Calibri"/>
          <w:color w:val="525866"/>
          <w:sz w:val="22"/>
        </w:rPr>
        <w:t xml:space="preserve"> Adds to satellite competitive narrative; management has argued network superiority (speed, reliability, capacity) provides durable advantage, but investor concern is elevated.</w:t>
      </w:r>
    </w:p>
    <w:p>
      <w:pPr>
        <w:pStyle w:val="ListBullet"/>
        <w:ind w:left="360" w:hanging="360"/>
      </w:pPr>
      <w:r>
        <w:rPr>
          <w:rFonts w:ascii="Calibri" w:hAnsi="Calibri"/>
          <w:b/>
          <w:color w:val="525866"/>
          <w:sz w:val="22"/>
        </w:rPr>
        <w:t>Jul 17, 2026 — Trump Broadcast License Threats (NBC/ABC):</w:t>
      </w:r>
      <w:r>
        <w:rPr>
          <w:rFonts w:ascii="Calibri" w:hAnsi="Calibri"/>
          <w:color w:val="525866"/>
          <w:sz w:val="22"/>
        </w:rPr>
        <w:t xml:space="preserve"> Trump threatened to revoke NBC and ABC broadcast licenses; NBC and ABC declined to air Trump’s speech on main networks. Rosenblatt analyst Barton Crockett noted TV stations are a small portion of Comcast’s business and Wall Street is not significantly concerned. </w:t>
      </w:r>
      <w:r>
        <w:rPr>
          <w:rFonts w:ascii="Calibri" w:hAnsi="Calibri"/>
          <w:b/>
          <w:color w:val="525866"/>
          <w:sz w:val="22"/>
        </w:rPr>
        <w:t>Implication:</w:t>
      </w:r>
      <w:r>
        <w:rPr>
          <w:rFonts w:ascii="Calibri" w:hAnsi="Calibri"/>
          <w:color w:val="525866"/>
          <w:sz w:val="22"/>
        </w:rPr>
        <w:t xml:space="preserve"> Minimal direct financial impact; broadcast licenses represent a small fraction of Comcast’s overall revenue.</w:t>
      </w:r>
    </w:p>
    <w:p>
      <w:pPr>
        <w:pStyle w:val="ListBullet"/>
        <w:ind w:left="360" w:hanging="360"/>
      </w:pPr>
      <w:r>
        <w:rPr>
          <w:rFonts w:ascii="Calibri" w:hAnsi="Calibri"/>
          <w:b/>
          <w:color w:val="525866"/>
          <w:sz w:val="22"/>
        </w:rPr>
        <w:t>Jul 16, 2026 — Verizon Retail Store Divestitures / Layoffs:</w:t>
      </w:r>
      <w:r>
        <w:rPr>
          <w:rFonts w:ascii="Calibri" w:hAnsi="Calibri"/>
          <w:color w:val="525866"/>
          <w:sz w:val="22"/>
        </w:rPr>
        <w:t xml:space="preserve"> Verizon cutting ~3,000 workers and divesting 274 retail stores to franchise owners. </w:t>
      </w:r>
      <w:r>
        <w:rPr>
          <w:rFonts w:ascii="Calibri" w:hAnsi="Calibri"/>
          <w:b/>
          <w:color w:val="525866"/>
          <w:sz w:val="22"/>
        </w:rPr>
        <w:t>Implication:</w:t>
      </w:r>
      <w:r>
        <w:rPr>
          <w:rFonts w:ascii="Calibri" w:hAnsi="Calibri"/>
          <w:color w:val="525866"/>
          <w:sz w:val="22"/>
        </w:rPr>
        <w:t xml:space="preserve"> Verizon restructuring its go-to-market; could modestly reduce competitive intensity in retail wireless, a slight positive for Xfinity Mobile.</w:t>
      </w:r>
    </w:p>
    <w:p>
      <w:pPr>
        <w:pStyle w:val="ListBullet"/>
        <w:ind w:left="360" w:hanging="360"/>
      </w:pPr>
      <w:r>
        <w:rPr>
          <w:rFonts w:ascii="Calibri" w:hAnsi="Calibri"/>
          <w:b/>
          <w:color w:val="525866"/>
          <w:sz w:val="22"/>
        </w:rPr>
        <w:t>Jul 22, 2026 — AT&amp;T Q2 2026 Earnings Beat (Same Day):</w:t>
      </w:r>
      <w:r>
        <w:rPr>
          <w:rFonts w:ascii="Calibri" w:hAnsi="Calibri"/>
          <w:color w:val="525866"/>
          <w:sz w:val="22"/>
        </w:rPr>
        <w:t xml:space="preserve"> AT&amp;T reported Q2 EBITDA of $12.3B (beat $12.1B est.), FCF of $4.7B (beat $4.4B est.), wireless postpaid phone net adds of +432K (beat +325K est.), and fiber net adds of +367K (beat +303K est.). Stock rose ~4.5%. </w:t>
      </w:r>
      <w:r>
        <w:rPr>
          <w:rFonts w:ascii="Calibri" w:hAnsi="Calibri"/>
          <w:b/>
          <w:color w:val="525866"/>
          <w:sz w:val="22"/>
        </w:rPr>
        <w:t>Implication:</w:t>
      </w:r>
      <w:r>
        <w:rPr>
          <w:rFonts w:ascii="Calibri" w:hAnsi="Calibri"/>
          <w:color w:val="525866"/>
          <w:sz w:val="22"/>
        </w:rPr>
        <w:t xml:space="preserve"> Strong AT&amp;T convergence results validate the broadband+wireless bundle thesis; AT&amp;T’s fiber expansion (40M passings, targeting 60M by 2030) is a direct competitive headwind for Comcast broadband.</w:t>
      </w:r>
    </w:p>
    <w:p>
      <w:pPr>
        <w:pStyle w:val="ListBullet"/>
        <w:ind w:left="360" w:hanging="360"/>
      </w:pPr>
      <w:r>
        <w:rPr>
          <w:rFonts w:ascii="Calibri" w:hAnsi="Calibri"/>
          <w:b/>
          <w:color w:val="525866"/>
          <w:sz w:val="22"/>
        </w:rPr>
        <w:t>Jul 20, 2026 — Paramount/WBD Merger Paused by Judge:</w:t>
      </w:r>
      <w:r>
        <w:rPr>
          <w:rFonts w:ascii="Calibri" w:hAnsi="Calibri"/>
          <w:color w:val="525866"/>
          <w:sz w:val="22"/>
        </w:rPr>
        <w:t xml:space="preserve"> Federal judge temporarily halted the $110B Paramount-Warner Bros. Discovery merger on antitrust grounds; 14-day pause with Aug 3 hearing. </w:t>
      </w:r>
      <w:r>
        <w:rPr>
          <w:rFonts w:ascii="Calibri" w:hAnsi="Calibri"/>
          <w:b/>
          <w:color w:val="525866"/>
          <w:sz w:val="22"/>
        </w:rPr>
        <w:t>Implication:</w:t>
      </w:r>
      <w:r>
        <w:rPr>
          <w:rFonts w:ascii="Calibri" w:hAnsi="Calibri"/>
          <w:color w:val="525866"/>
          <w:sz w:val="22"/>
        </w:rPr>
        <w:t xml:space="preserve"> Indirect; reduces near-term media consolidation pressure on Comcast’s content competitive positioning.</w:t>
      </w:r>
    </w:p>
    <w:p>
      <w:pPr>
        <w:pStyle w:val="ListBullet"/>
        <w:ind w:left="360" w:hanging="360"/>
      </w:pPr>
      <w:r>
        <w:rPr>
          <w:rFonts w:ascii="Calibri" w:hAnsi="Calibri"/>
          <w:b/>
          <w:color w:val="525866"/>
          <w:sz w:val="22"/>
        </w:rPr>
        <w:t>Jul 22, 2026 — Benchmark Reiterates Buy on Charter ($380 PT, +197% upside):</w:t>
      </w:r>
      <w:r>
        <w:rPr>
          <w:rFonts w:ascii="Calibri" w:hAnsi="Calibri"/>
          <w:color w:val="525866"/>
          <w:sz w:val="22"/>
        </w:rPr>
        <w:t xml:space="preserve"> Analyst Matthew Harrigan argues Starlink threat is overstated and Charter’s network remains highly competitive. </w:t>
      </w:r>
      <w:r>
        <w:rPr>
          <w:rFonts w:ascii="Calibri" w:hAnsi="Calibri"/>
          <w:b/>
          <w:color w:val="525866"/>
          <w:sz w:val="22"/>
        </w:rPr>
        <w:t>Implication:</w:t>
      </w:r>
      <w:r>
        <w:rPr>
          <w:rFonts w:ascii="Calibri" w:hAnsi="Calibri"/>
          <w:color w:val="525866"/>
          <w:sz w:val="22"/>
        </w:rPr>
        <w:t xml:space="preserve"> Positive read-through for Comcast — same Starlink-overstated argument applies; both cable operators trade at historically depressed valuations.</w:t>
      </w:r>
    </w:p>
    <w:p>
      <w:r>
        <w:br w:type="page"/>
      </w:r>
    </w:p>
    <w:p>
      <w:pPr>
        <w:pStyle w:val="Heading2"/>
      </w:pPr>
      <w:r>
        <w:rPr>
          <w:rFonts w:ascii="Calibri" w:hAnsi="Calibri"/>
          <w:b/>
          <w:color w:val="3B4259"/>
          <w:sz w:val="28"/>
        </w:rPr>
        <w:t>7. Peer Commentary Read-Throughs</w:t>
      </w:r>
    </w:p>
    <w:p>
      <w:r>
        <w:rPr>
          <w:rFonts w:ascii="Calibri" w:hAnsi="Calibri"/>
          <w:b/>
          <w:color w:val="525866"/>
          <w:sz w:val="22"/>
        </w:rPr>
        <w:t xml:space="preserve">Key Takeaway: </w:t>
      </w:r>
      <w:r>
        <w:rPr>
          <w:rFonts w:ascii="Calibri" w:hAnsi="Calibri"/>
          <w:color w:val="525866"/>
          <w:sz w:val="22"/>
        </w:rPr>
        <w:t xml:space="preserve">AT&amp;T’s Q2 2026 results (reported this morning, July 22) are the most directly relevant read-through — </w:t>
      </w:r>
      <w:r>
        <w:rPr>
          <w:rFonts w:ascii="Calibri" w:hAnsi="Calibri"/>
          <w:b/>
          <w:color w:val="525866"/>
          <w:sz w:val="22"/>
        </w:rPr>
        <w:t>strong wireless subscriber growth and fiber convergence momentum</w:t>
      </w:r>
      <w:r>
        <w:rPr>
          <w:rFonts w:ascii="Calibri" w:hAnsi="Calibri"/>
          <w:color w:val="525866"/>
          <w:sz w:val="22"/>
        </w:rPr>
        <w:t xml:space="preserve"> validate the bundle thesis but also confirm that AT&amp;T’s fiber expansion is an intensifying competitive headwind for Comcast broadband. AT&amp;T’s CFO commentary at the June 9 Mizuho conference provides additional color on the current broadband and wireless operating environment.</w:t>
      </w:r>
    </w:p>
    <w:p>
      <w:r>
        <w:rPr>
          <w:rFonts w:ascii="Calibri" w:hAnsi="Calibri"/>
          <w:b/>
          <w:color w:val="525866"/>
          <w:sz w:val="22"/>
        </w:rPr>
        <w:t xml:space="preserve">Scope Note: </w:t>
      </w:r>
      <w:r>
        <w:rPr>
          <w:rFonts w:ascii="Calibri" w:hAnsi="Calibri"/>
          <w:i/>
          <w:color w:val="525866"/>
          <w:sz w:val="22"/>
        </w:rPr>
        <w:t>Only peer commentary from the last 60 days (May 22 – July 22, 2026) that addresses Q2 2026 operating conditions, the current competitive environment, or forward outlook is included below. Prior-quarter earnings commentary (e.g., Q1 2025 results discussed on Q1 2025 calls) is excluded. Verizon Q2 2026 earnings are scheduled for July 24, 2026 and are not yet available.</w:t>
      </w:r>
    </w:p>
    <w:p>
      <w:pPr>
        <w:pStyle w:val="Heading3"/>
      </w:pPr>
      <w:r>
        <w:rPr>
          <w:rFonts w:ascii="Calibri" w:hAnsi="Calibri"/>
          <w:b/>
          <w:color w:val="3B4259"/>
          <w:sz w:val="24"/>
        </w:rPr>
        <w:t>AT&amp;T (T) — Q2 2026 Earnings (Reported July 22, 2026)</w:t>
      </w:r>
    </w:p>
    <w:p>
      <w:r>
        <w:rPr>
          <w:rFonts w:ascii="Calibri" w:hAnsi="Calibri"/>
          <w:b/>
          <w:color w:val="525866"/>
          <w:sz w:val="22"/>
        </w:rPr>
        <w:t xml:space="preserve">Relevance: </w:t>
      </w:r>
      <w:r>
        <w:rPr>
          <w:rFonts w:ascii="Calibri" w:hAnsi="Calibri"/>
          <w:color w:val="525866"/>
          <w:sz w:val="22"/>
        </w:rPr>
        <w:t>AT&amp;T is Comcast’s most direct broadband and wireless competitor in overlapping fiber/cable footprints. AT&amp;T’s Q2 results provide the most current read on broadband competitive intensity, wireless subscriber trends, and convergence bundle economics heading into Comcast’s print tomorrow.</w:t>
      </w:r>
    </w:p>
    <w:p>
      <w:pPr>
        <w:pStyle w:val="ListBullet"/>
        <w:ind w:left="360" w:hanging="360"/>
      </w:pPr>
      <w:r>
        <w:rPr>
          <w:rFonts w:ascii="Calibri" w:hAnsi="Calibri"/>
          <w:b/>
          <w:color w:val="525866"/>
          <w:sz w:val="22"/>
        </w:rPr>
        <w:t>Wireless Subscriber Momentum (Positive Read-Through for Comcast Wireless):</w:t>
      </w:r>
      <w:r>
        <w:rPr>
          <w:rFonts w:ascii="Calibri" w:hAnsi="Calibri"/>
          <w:color w:val="525866"/>
          <w:sz w:val="22"/>
        </w:rPr>
        <w:t xml:space="preserve"> AT&amp;T added 432K postpaid phone net adds in Q2 (vs. 325K consensus), its best-ever Q2 for fiber net adds (+367K vs. 303K est.), and a record quarter for combined fiber + fixed wireless net adds. Wireless service revenues grew 3.3% YoY. </w:t>
      </w:r>
      <w:r>
        <w:rPr>
          <w:rFonts w:ascii="Calibri" w:hAnsi="Calibri"/>
          <w:b/>
          <w:color w:val="525866"/>
          <w:sz w:val="22"/>
        </w:rPr>
        <w:t>Read-Through:</w:t>
      </w:r>
      <w:r>
        <w:rPr>
          <w:rFonts w:ascii="Calibri" w:hAnsi="Calibri"/>
          <w:color w:val="525866"/>
          <w:sz w:val="22"/>
        </w:rPr>
        <w:t xml:space="preserve"> Strong industry wireless demand is a positive backdrop for Comcast’s Xfinity Mobile, which is targeting record wireless net adds. However, AT&amp;T’s convergence success (45% of fiber customers also have wireless) demonstrates the competitive intensity Comcast faces in its own footprint.</w:t>
      </w:r>
    </w:p>
    <w:p>
      <w:pPr>
        <w:pStyle w:val="ListBullet"/>
        <w:ind w:left="360" w:hanging="360"/>
      </w:pPr>
      <w:r>
        <w:rPr>
          <w:rFonts w:ascii="Calibri" w:hAnsi="Calibri"/>
          <w:b/>
          <w:color w:val="525866"/>
          <w:sz w:val="22"/>
        </w:rPr>
        <w:t>Fiber Expansion Accelerating (Negative Read-Through for Comcast Broadband):</w:t>
      </w:r>
      <w:r>
        <w:rPr>
          <w:rFonts w:ascii="Calibri" w:hAnsi="Calibri"/>
          <w:color w:val="525866"/>
          <w:sz w:val="22"/>
        </w:rPr>
        <w:t xml:space="preserve"> AT&amp;T is in its largest-ever year for fiber expansion — targeting 8M new locations in 2026 (including 4M+ from Lumen acquisition). AT&amp;T expects to reach 40M fiber passings by year-end and 60M+ by 2030. CEO Stankey: "Where we have fiber, we win with fiber and wireless." </w:t>
      </w:r>
      <w:r>
        <w:rPr>
          <w:rFonts w:ascii="Calibri" w:hAnsi="Calibri"/>
          <w:b/>
          <w:color w:val="525866"/>
          <w:sz w:val="22"/>
        </w:rPr>
        <w:t>Read-Through:</w:t>
      </w:r>
      <w:r>
        <w:rPr>
          <w:rFonts w:ascii="Calibri" w:hAnsi="Calibri"/>
          <w:color w:val="525866"/>
          <w:sz w:val="22"/>
        </w:rPr>
        <w:t xml:space="preserve"> Comcast faces ~55% fiber overlap across its residential footprint; AT&amp;T’s accelerating build-out is a direct headwind to broadband subscriber retention and ARPU. The Lumen acquisition added 4.5M underpenetrated passings (25% penetrated vs. AT&amp;T’s 40% average), creating a significant new competitive funnel.</w:t>
      </w:r>
    </w:p>
    <w:p>
      <w:pPr>
        <w:pStyle w:val="ListBullet"/>
        <w:ind w:left="360" w:hanging="360"/>
      </w:pPr>
      <w:r>
        <w:rPr>
          <w:rFonts w:ascii="Calibri" w:hAnsi="Calibri"/>
          <w:b/>
          <w:color w:val="525866"/>
          <w:sz w:val="22"/>
        </w:rPr>
        <w:t>Convergence Bundle Economics (Mixed Read-Through):</w:t>
      </w:r>
      <w:r>
        <w:rPr>
          <w:rFonts w:ascii="Calibri" w:hAnsi="Calibri"/>
          <w:color w:val="525866"/>
          <w:sz w:val="22"/>
        </w:rPr>
        <w:t xml:space="preserve"> AT&amp;T’s converged customers (fiber + wireless) exhibit lower churn, higher lifetime value, and higher NPS. 42.5% of AT&amp;T’s advanced home internet customers also have postpaid wireless (45% ex-Lumen). AT&amp;T added 147K consumer postpaid wireless accounts in Q2, a 3-year high. </w:t>
      </w:r>
      <w:r>
        <w:rPr>
          <w:rFonts w:ascii="Calibri" w:hAnsi="Calibri"/>
          <w:b/>
          <w:color w:val="525866"/>
          <w:sz w:val="22"/>
        </w:rPr>
        <w:t>Read-Through:</w:t>
      </w:r>
      <w:r>
        <w:rPr>
          <w:rFonts w:ascii="Calibri" w:hAnsi="Calibri"/>
          <w:color w:val="525866"/>
          <w:sz w:val="22"/>
        </w:rPr>
        <w:t xml:space="preserve"> Validates Comcast’s convergence strategy (broadband + Xfinity Mobile); Comcast’s ~16% wireless penetration of its broadband base vs. AT&amp;T’s 45% convergence rate underscores both the competitive gap and the long-term opportunity.</w:t>
      </w:r>
    </w:p>
    <w:p>
      <w:pPr>
        <w:pStyle w:val="ListBullet"/>
        <w:ind w:left="360" w:hanging="360"/>
      </w:pPr>
      <w:r>
        <w:rPr>
          <w:rFonts w:ascii="Calibri" w:hAnsi="Calibri"/>
          <w:b/>
          <w:color w:val="525866"/>
          <w:sz w:val="22"/>
        </w:rPr>
        <w:t>Satellite Competition (Neutral-to-Positive Read-Through):</w:t>
      </w:r>
      <w:r>
        <w:rPr>
          <w:rFonts w:ascii="Calibri" w:hAnsi="Calibri"/>
          <w:color w:val="525866"/>
          <w:sz w:val="22"/>
        </w:rPr>
        <w:t xml:space="preserve"> AT&amp;T CEO Stankey stated the company has "everything we need to put the best product in the market" without relying on future technology breakthroughs, and characterized satellite as a "great solution" only for the 1% of population in very rural areas not covered by existing infrastructure. </w:t>
      </w:r>
      <w:r>
        <w:rPr>
          <w:rFonts w:ascii="Calibri" w:hAnsi="Calibri"/>
          <w:b/>
          <w:color w:val="525866"/>
          <w:sz w:val="22"/>
        </w:rPr>
        <w:t>Read-Through:</w:t>
      </w:r>
      <w:r>
        <w:rPr>
          <w:rFonts w:ascii="Calibri" w:hAnsi="Calibri"/>
          <w:color w:val="525866"/>
          <w:sz w:val="22"/>
        </w:rPr>
        <w:t xml:space="preserve"> AT&amp;T’s dismissal of satellite as a meaningful urban/suburban threat is consistent with Comcast management’s own framing; provides some validation that the Starlink competitive narrative may be overstated for cable/fiber operators in dense markets.</w:t>
      </w:r>
    </w:p>
    <w:p>
      <w:pPr>
        <w:pStyle w:val="ListBullet"/>
        <w:ind w:left="360" w:hanging="360"/>
      </w:pPr>
      <w:r>
        <w:rPr>
          <w:rFonts w:ascii="Calibri" w:hAnsi="Calibri"/>
          <w:b/>
          <w:color w:val="525866"/>
          <w:sz w:val="22"/>
        </w:rPr>
        <w:t>EBITDA and FCF Beat (Positive Macro Read-Through):</w:t>
      </w:r>
      <w:r>
        <w:rPr>
          <w:rFonts w:ascii="Calibri" w:hAnsi="Calibri"/>
          <w:color w:val="525866"/>
          <w:sz w:val="22"/>
        </w:rPr>
        <w:t xml:space="preserve"> AT&amp;T Q2 EBITDA of $12.3B beat $12.1B consensus; FCF of $4.7B beat $4.4B consensus; adjusted EBITDA margin expanded 110bps to 39.1%. AT&amp;T accelerated share buybacks to $10B for 2026 (from $8B). </w:t>
      </w:r>
      <w:r>
        <w:rPr>
          <w:rFonts w:ascii="Calibri" w:hAnsi="Calibri"/>
          <w:b/>
          <w:color w:val="525866"/>
          <w:sz w:val="22"/>
        </w:rPr>
        <w:t>Read-Through:</w:t>
      </w:r>
      <w:r>
        <w:rPr>
          <w:rFonts w:ascii="Calibri" w:hAnsi="Calibri"/>
          <w:color w:val="525866"/>
          <w:sz w:val="22"/>
        </w:rPr>
        <w:t xml:space="preserve"> Healthy telecom sector EBITDA and FCF generation is a positive backdrop; AT&amp;T’s margin expansion suggests cost discipline is achievable even during heavy investment periods.</w:t>
      </w:r>
    </w:p>
    <w:p>
      <w:pPr>
        <w:pStyle w:val="ListBullet"/>
        <w:ind w:left="360" w:hanging="360"/>
      </w:pPr>
      <w:r>
        <w:rPr>
          <w:rFonts w:ascii="Calibri" w:hAnsi="Calibri"/>
          <w:b/>
          <w:color w:val="525866"/>
          <w:sz w:val="22"/>
        </w:rPr>
        <w:t>Device Subsidy / Churn Dynamics:</w:t>
      </w:r>
      <w:r>
        <w:rPr>
          <w:rFonts w:ascii="Calibri" w:hAnsi="Calibri"/>
          <w:color w:val="525866"/>
          <w:sz w:val="22"/>
        </w:rPr>
        <w:t xml:space="preserve"> AT&amp;T noted industry churn is stabilizing after accelerating in 2025; promotional activity becoming more deliberate as LTVs stabilize. Device costs expected to rise, which may suppress demand. </w:t>
      </w:r>
      <w:r>
        <w:rPr>
          <w:rFonts w:ascii="Calibri" w:hAnsi="Calibri"/>
          <w:b/>
          <w:color w:val="525866"/>
          <w:sz w:val="22"/>
        </w:rPr>
        <w:t>Read-Through:</w:t>
      </w:r>
      <w:r>
        <w:rPr>
          <w:rFonts w:ascii="Calibri" w:hAnsi="Calibri"/>
          <w:color w:val="525866"/>
          <w:sz w:val="22"/>
        </w:rPr>
        <w:t xml:space="preserve"> Stabilizing churn environment is a modest positive for Comcast’s wireless business; rising device costs could reduce competitive switching activity.</w:t>
      </w:r>
    </w:p>
    <w:p>
      <w:pPr>
        <w:pStyle w:val="Heading3"/>
      </w:pPr>
      <w:r>
        <w:rPr>
          <w:rFonts w:ascii="Calibri" w:hAnsi="Calibri"/>
          <w:b/>
          <w:color w:val="3B4259"/>
          <w:sz w:val="24"/>
        </w:rPr>
        <w:t>AT&amp;T (T) — Mizuho Technology Conference (June 9, 2026)</w:t>
      </w:r>
    </w:p>
    <w:p>
      <w:r>
        <w:rPr>
          <w:rFonts w:ascii="Calibri" w:hAnsi="Calibri"/>
          <w:b/>
          <w:color w:val="525866"/>
          <w:sz w:val="22"/>
        </w:rPr>
        <w:t xml:space="preserve">Relevance: </w:t>
      </w:r>
      <w:r>
        <w:rPr>
          <w:rFonts w:ascii="Calibri" w:hAnsi="Calibri"/>
          <w:color w:val="525866"/>
          <w:sz w:val="22"/>
        </w:rPr>
        <w:t>AT&amp;T CFO Pascal Desroches provided forward-looking commentary on broadband, wireless, and competitive dynamics at the Mizuho conference on June 9, 2026 — directly relevant to Comcast’s Q2 operating environment.</w:t>
      </w:r>
    </w:p>
    <w:p>
      <w:pPr>
        <w:pStyle w:val="ListBullet"/>
        <w:ind w:left="360" w:hanging="360"/>
      </w:pPr>
      <w:r>
        <w:rPr>
          <w:rFonts w:ascii="Calibri" w:hAnsi="Calibri"/>
          <w:b/>
          <w:color w:val="525866"/>
          <w:sz w:val="22"/>
        </w:rPr>
        <w:t>Broadband Demand Accelerating:</w:t>
      </w:r>
      <w:r>
        <w:rPr>
          <w:rFonts w:ascii="Calibri" w:hAnsi="Calibri"/>
          <w:color w:val="525866"/>
          <w:sz w:val="22"/>
        </w:rPr>
        <w:t xml:space="preserve"> AT&amp;T CFO stated demand for bandwidth will "continue to increase at just exponential rates" driven by AI, autonomous vehicles, drones, and smart devices; future connectivity demand will be "more so driven by uplink demand than downlink." AT&amp;T expects Advanced Home Internet customer additions to accelerate YoY relative to Q1 2026. </w:t>
      </w:r>
      <w:r>
        <w:rPr>
          <w:rFonts w:ascii="Calibri" w:hAnsi="Calibri"/>
          <w:b/>
          <w:color w:val="525866"/>
          <w:sz w:val="22"/>
        </w:rPr>
        <w:t>Read-Through:</w:t>
      </w:r>
      <w:r>
        <w:rPr>
          <w:rFonts w:ascii="Calibri" w:hAnsi="Calibri"/>
          <w:color w:val="525866"/>
          <w:sz w:val="22"/>
        </w:rPr>
        <w:t xml:space="preserve"> Rising data demand is a secular tailwind for Comcast’s network infrastructure; management’s Docsis 4.0 upgrade (targeting multi-gig symmetrical speeds by end of 2026) is directly aligned with this demand trajectory.</w:t>
      </w:r>
    </w:p>
    <w:p>
      <w:pPr>
        <w:pStyle w:val="ListBullet"/>
        <w:ind w:left="360" w:hanging="360"/>
      </w:pPr>
      <w:r>
        <w:rPr>
          <w:rFonts w:ascii="Calibri" w:hAnsi="Calibri"/>
          <w:b/>
          <w:color w:val="525866"/>
          <w:sz w:val="22"/>
        </w:rPr>
        <w:t>Fixed Wireless as a Complementary Tool (Not Primary):</w:t>
      </w:r>
      <w:r>
        <w:rPr>
          <w:rFonts w:ascii="Calibri" w:hAnsi="Calibri"/>
          <w:color w:val="525866"/>
          <w:sz w:val="22"/>
        </w:rPr>
        <w:t xml:space="preserve"> AT&amp;T CFO characterized fixed wireless as "another tool in the toolkit" but not the lead broadband offer; viable only using "fallow capacity" and in areas before fiber rollout. Returns "go down dramatically" if network densification is required. </w:t>
      </w:r>
      <w:r>
        <w:rPr>
          <w:rFonts w:ascii="Calibri" w:hAnsi="Calibri"/>
          <w:b/>
          <w:color w:val="525866"/>
          <w:sz w:val="22"/>
        </w:rPr>
        <w:t>Read-Through:</w:t>
      </w:r>
      <w:r>
        <w:rPr>
          <w:rFonts w:ascii="Calibri" w:hAnsi="Calibri"/>
          <w:color w:val="525866"/>
          <w:sz w:val="22"/>
        </w:rPr>
        <w:t xml:space="preserve"> Consistent with Comcast management’s view that fixed wireless is capacity-constrained; AT&amp;T’s disciplined FWA approach suggests the most aggressive FWA competition (T-Mobile, Verizon) may face structural limits.</w:t>
      </w:r>
    </w:p>
    <w:p>
      <w:pPr>
        <w:pStyle w:val="ListBullet"/>
        <w:ind w:left="360" w:hanging="360"/>
      </w:pPr>
      <w:r>
        <w:rPr>
          <w:rFonts w:ascii="Calibri" w:hAnsi="Calibri"/>
          <w:b/>
          <w:color w:val="525866"/>
          <w:sz w:val="22"/>
        </w:rPr>
        <w:t>Convergence as the Winning Strategy:</w:t>
      </w:r>
      <w:r>
        <w:rPr>
          <w:rFonts w:ascii="Calibri" w:hAnsi="Calibri"/>
          <w:color w:val="525866"/>
          <w:sz w:val="22"/>
        </w:rPr>
        <w:t xml:space="preserve"> AT&amp;T CFO: customers with both fiber and wireless are "lowest churn customers, highest lifetime value" with NPS and "brand love off the charts." AT&amp;T expects to "drive an outsized share take in wireless" as fiber footprint expands to 60M+ passings by 2030. </w:t>
      </w:r>
      <w:r>
        <w:rPr>
          <w:rFonts w:ascii="Calibri" w:hAnsi="Calibri"/>
          <w:b/>
          <w:color w:val="525866"/>
          <w:sz w:val="22"/>
        </w:rPr>
        <w:t>Read-Through:</w:t>
      </w:r>
      <w:r>
        <w:rPr>
          <w:rFonts w:ascii="Calibri" w:hAnsi="Calibri"/>
          <w:color w:val="525866"/>
          <w:sz w:val="22"/>
        </w:rPr>
        <w:t xml:space="preserve"> Validates Comcast’s convergence ARPA strategy; the competitive dynamic is clear — whoever wins the broadband relationship has a structural advantage in wireless.</w:t>
      </w:r>
    </w:p>
    <w:p>
      <w:pPr>
        <w:pStyle w:val="Heading3"/>
      </w:pPr>
      <w:r>
        <w:rPr>
          <w:rFonts w:ascii="Calibri" w:hAnsi="Calibri"/>
          <w:b/>
          <w:color w:val="3B4259"/>
          <w:sz w:val="24"/>
        </w:rPr>
        <w:t>Comcast / NBCUniversal — Evercore TMT Global Conference (June 2, 2026)</w:t>
      </w:r>
    </w:p>
    <w:p>
      <w:r>
        <w:rPr>
          <w:rFonts w:ascii="Calibri" w:hAnsi="Calibri"/>
          <w:b/>
          <w:color w:val="525866"/>
          <w:sz w:val="22"/>
        </w:rPr>
        <w:t xml:space="preserve">Relevance: </w:t>
      </w:r>
      <w:r>
        <w:rPr>
          <w:rFonts w:ascii="Calibri" w:hAnsi="Calibri"/>
          <w:color w:val="525866"/>
          <w:sz w:val="22"/>
        </w:rPr>
        <w:t>Matt Strauss (NBCUniversal Media Group Chairman) provided the most recent management commentary on Peacock, parks, advertising, and the Harmony initiative — directly relevant to Q2 2026 Content &amp; Experiences performance.</w:t>
      </w:r>
    </w:p>
    <w:p>
      <w:pPr>
        <w:pStyle w:val="ListBullet"/>
        <w:ind w:left="360" w:hanging="360"/>
      </w:pPr>
      <w:r>
        <w:rPr>
          <w:rFonts w:ascii="Calibri" w:hAnsi="Calibri"/>
          <w:b/>
          <w:color w:val="525866"/>
          <w:sz w:val="22"/>
        </w:rPr>
        <w:t>Peacock Profitability Confirmed:</w:t>
      </w:r>
      <w:r>
        <w:rPr>
          <w:rFonts w:ascii="Calibri" w:hAnsi="Calibri"/>
          <w:color w:val="525866"/>
          <w:sz w:val="22"/>
        </w:rPr>
        <w:t xml:space="preserve"> "We mentioned on the last earnings call that we were pacing to profitability in Q2. I’m proud to share we will be profitable in Q2, which is a big milestone for the company." Straight-line NBA amortization supports ongoing profitability beyond Q2. </w:t>
      </w:r>
      <w:r>
        <w:rPr>
          <w:rFonts w:ascii="Calibri" w:hAnsi="Calibri"/>
          <w:b/>
          <w:color w:val="525866"/>
          <w:sz w:val="22"/>
        </w:rPr>
        <w:t>Read-Through:</w:t>
      </w:r>
      <w:r>
        <w:rPr>
          <w:rFonts w:ascii="Calibri" w:hAnsi="Calibri"/>
          <w:color w:val="525866"/>
          <w:sz w:val="22"/>
        </w:rPr>
        <w:t xml:space="preserve"> Removes a key overhang; consensus expects ~+$27M of Peacock EBITDA in Q2, leaving room for a positive surprise.</w:t>
      </w:r>
    </w:p>
    <w:p>
      <w:pPr>
        <w:pStyle w:val="ListBullet"/>
        <w:ind w:left="360" w:hanging="360"/>
      </w:pPr>
      <w:r>
        <w:rPr>
          <w:rFonts w:ascii="Calibri" w:hAnsi="Calibri"/>
          <w:b/>
          <w:color w:val="525866"/>
          <w:sz w:val="22"/>
        </w:rPr>
        <w:t>Domestic Parks Softness Acknowledged:</w:t>
      </w:r>
      <w:r>
        <w:rPr>
          <w:rFonts w:ascii="Calibri" w:hAnsi="Calibri"/>
          <w:color w:val="525866"/>
          <w:sz w:val="22"/>
        </w:rPr>
        <w:t xml:space="preserve"> "We are seeing on the international side, a little bit of softness that we’re keeping an eye on. We’re seeing some of that domestically." This is a tone shift from Q1 earnings ("not seeing a pullback of any level that’s concerning"). </w:t>
      </w:r>
      <w:r>
        <w:rPr>
          <w:rFonts w:ascii="Calibri" w:hAnsi="Calibri"/>
          <w:b/>
          <w:color w:val="525866"/>
          <w:sz w:val="22"/>
        </w:rPr>
        <w:t>Read-Through:</w:t>
      </w:r>
      <w:r>
        <w:rPr>
          <w:rFonts w:ascii="Calibri" w:hAnsi="Calibri"/>
          <w:color w:val="525866"/>
          <w:sz w:val="22"/>
        </w:rPr>
        <w:t xml:space="preserve"> Domestic parks softness is a new risk for Q2 C&amp;E EBITDA; Epic Universe is still ramping but macro headwinds may be offsetting the new park benefit.</w:t>
      </w:r>
    </w:p>
    <w:p>
      <w:pPr>
        <w:pStyle w:val="ListBullet"/>
        <w:ind w:left="360" w:hanging="360"/>
      </w:pPr>
      <w:r>
        <w:rPr>
          <w:rFonts w:ascii="Calibri" w:hAnsi="Calibri"/>
          <w:b/>
          <w:color w:val="525866"/>
          <w:sz w:val="22"/>
        </w:rPr>
        <w:t>Peacock Pricing Power:</w:t>
      </w:r>
      <w:r>
        <w:rPr>
          <w:rFonts w:ascii="Calibri" w:hAnsi="Calibri"/>
          <w:color w:val="525866"/>
          <w:sz w:val="22"/>
        </w:rPr>
        <w:t xml:space="preserve"> Strauss noted Peacock’s retail price is "undervalued" vs. competitors at "almost 2x to 3x the retail price point" and sees "opportunity for more rate just based on the value of what we offer." </w:t>
      </w:r>
      <w:r>
        <w:rPr>
          <w:rFonts w:ascii="Calibri" w:hAnsi="Calibri"/>
          <w:b/>
          <w:color w:val="525866"/>
          <w:sz w:val="22"/>
        </w:rPr>
        <w:t>Read-Through:</w:t>
      </w:r>
      <w:r>
        <w:rPr>
          <w:rFonts w:ascii="Calibri" w:hAnsi="Calibri"/>
          <w:color w:val="525866"/>
          <w:sz w:val="22"/>
        </w:rPr>
        <w:t xml:space="preserve"> Potential future ARPU tailwind; any price increase announcement on the Q2 call would be a positive catalyst.</w:t>
      </w:r>
    </w:p>
    <w:p>
      <w:pPr>
        <w:pStyle w:val="ListBullet"/>
        <w:ind w:left="360" w:hanging="360"/>
      </w:pPr>
      <w:r>
        <w:rPr>
          <w:rFonts w:ascii="Calibri" w:hAnsi="Calibri"/>
          <w:b/>
          <w:color w:val="525866"/>
          <w:sz w:val="22"/>
        </w:rPr>
        <w:t>Harmony Initiative (Broadband + Media Synergy):</w:t>
      </w:r>
      <w:r>
        <w:rPr>
          <w:rFonts w:ascii="Calibri" w:hAnsi="Calibri"/>
          <w:color w:val="525866"/>
          <w:sz w:val="22"/>
        </w:rPr>
        <w:t xml:space="preserve"> Comcast is using Peacock’s 100M monthly active users to identify and target those within its footprint who lack broadband or wireless service. Peacock bundled with gig-tier broadband subscribers. NBC 4K content showcasing Comcast network superiority. </w:t>
      </w:r>
      <w:r>
        <w:rPr>
          <w:rFonts w:ascii="Calibri" w:hAnsi="Calibri"/>
          <w:b/>
          <w:color w:val="525866"/>
          <w:sz w:val="22"/>
        </w:rPr>
        <w:t>Read-Through:</w:t>
      </w:r>
      <w:r>
        <w:rPr>
          <w:rFonts w:ascii="Calibri" w:hAnsi="Calibri"/>
          <w:color w:val="525866"/>
          <w:sz w:val="22"/>
        </w:rPr>
        <w:t xml:space="preserve"> Harmony is an emerging broadband acquisition tool; any quantification of Harmony-driven broadband or wireless net adds on the Q2 call would be a positive surprise.</w:t>
      </w:r>
    </w:p>
    <w:p>
      <w:r>
        <w:rPr>
          <w:rFonts w:ascii="Calibri" w:hAnsi="Calibri"/>
          <w:b/>
          <w:color w:val="525866"/>
          <w:sz w:val="22"/>
        </w:rPr>
        <w:t>Excluded Peer Commentary:</w:t>
      </w:r>
      <w:r>
        <w:rPr>
          <w:rFonts w:ascii="Calibri" w:hAnsi="Calibri"/>
          <w:i/>
          <w:color w:val="525866"/>
          <w:sz w:val="22"/>
        </w:rPr>
        <w:t xml:space="preserve"> The following were reviewed but excluded as they do not address Q2 2026 operating conditions or forward outlook: (1) WBD Q1 2025 earnings commentary (prior quarter results); (2) Verizon Q1 2025 earnings commentary (prior quarter results); (3) Charter Q1 2025 earnings commentary (prior quarter results). Verizon Q2 2026 earnings (scheduled July 24, 2026) are not yet available. Charter Q2 2026 earnings are also not yet reported.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The only transactions are routine director equity grants (transaction code ‘A’ / ‘G’ — awards, not open-market purchases or sales) — </w:t>
      </w:r>
      <w:r>
        <w:rPr>
          <w:rFonts w:ascii="Calibri" w:hAnsi="Calibri"/>
          <w:b/>
          <w:color w:val="525866"/>
          <w:sz w:val="22"/>
        </w:rPr>
        <w:t>nothing notable to flag</w:t>
      </w:r>
      <w:r>
        <w:rPr>
          <w:rFonts w:ascii="Calibri" w:hAnsi="Calibri"/>
          <w:color w:val="525866"/>
          <w:sz w:val="22"/>
        </w:rPr>
        <w:t>. The absence of any open-market buying by insiders at historically depressed valuation levels (stock down ~26% since Q1 earnings) is worth noting, though not alarming given the spin-off announcement and associated blackout/disclosure constraints.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Thomas J. Baltimore Jr.</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1,375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Louise F. Brady</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1,375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Edward D. Breen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815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Jeffrey A. Honickman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1,783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Gordon Smith</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1,375 shares</w:t>
            </w:r>
          </w:p>
        </w:tc>
        <w:tc>
          <w:tcPr>
            <w:tcW w:type="dxa" w:w="1440"/>
          </w:tcPr>
          <w:p>
            <w:r>
              <w:rPr>
                <w:rFonts w:ascii="Calibri" w:hAnsi="Calibri"/>
                <w:sz w:val="22"/>
              </w:rPr>
              <w:t>Jun 30, 2026</w:t>
            </w:r>
          </w:p>
        </w:tc>
        <w:tc>
          <w:tcPr>
            <w:tcW w:type="dxa" w:w="1440"/>
          </w:tcPr>
          <w:p>
            <w:r>
              <w:rPr>
                <w:rFonts w:ascii="Calibri" w:hAnsi="Calibri"/>
                <w:sz w:val="22"/>
              </w:rPr>
              <w:t>Routine director equity compensation; not an open-market purchase</w:t>
            </w:r>
          </w:p>
        </w:tc>
      </w:tr>
      <w:tr>
        <w:tc>
          <w:tcPr>
            <w:tcW w:type="dxa" w:w="1440"/>
          </w:tcPr>
          <w:p>
            <w:r>
              <w:rPr>
                <w:rFonts w:ascii="Calibri" w:hAnsi="Calibri"/>
                <w:sz w:val="22"/>
              </w:rPr>
              <w:t>Brian L. Roberts</w:t>
            </w:r>
          </w:p>
        </w:tc>
        <w:tc>
          <w:tcPr>
            <w:tcW w:type="dxa" w:w="1440"/>
          </w:tcPr>
          <w:p>
            <w:r>
              <w:rPr>
                <w:rFonts w:ascii="Calibri" w:hAnsi="Calibri"/>
                <w:sz w:val="22"/>
              </w:rPr>
              <w:t>Chairman &amp; Co-CEO, Director</w:t>
            </w:r>
          </w:p>
        </w:tc>
        <w:tc>
          <w:tcPr>
            <w:tcW w:type="dxa" w:w="1440"/>
          </w:tcPr>
          <w:p>
            <w:r>
              <w:rPr>
                <w:rFonts w:ascii="Calibri" w:hAnsi="Calibri"/>
                <w:sz w:val="22"/>
              </w:rPr>
              <w:t>Equity Disposition (Grant/Award Disposition)</w:t>
            </w:r>
          </w:p>
        </w:tc>
        <w:tc>
          <w:tcPr>
            <w:tcW w:type="dxa" w:w="1440"/>
          </w:tcPr>
          <w:p>
            <w:r>
              <w:rPr>
                <w:rFonts w:ascii="Calibri" w:hAnsi="Calibri"/>
                <w:sz w:val="22"/>
              </w:rPr>
              <w:t>202,500 shares</w:t>
            </w:r>
          </w:p>
        </w:tc>
        <w:tc>
          <w:tcPr>
            <w:tcW w:type="dxa" w:w="1440"/>
          </w:tcPr>
          <w:p>
            <w:r>
              <w:rPr>
                <w:rFonts w:ascii="Calibri" w:hAnsi="Calibri"/>
                <w:sz w:val="22"/>
              </w:rPr>
              <w:t>May 19, 2026</w:t>
            </w:r>
          </w:p>
        </w:tc>
        <w:tc>
          <w:tcPr>
            <w:tcW w:type="dxa" w:w="1440"/>
          </w:tcPr>
          <w:p>
            <w:r>
              <w:rPr>
                <w:rFonts w:ascii="Calibri" w:hAnsi="Calibri"/>
                <w:sz w:val="22"/>
              </w:rPr>
              <w:t>Transaction code ‘G’ (gift/disposition of award); not an open-market sale; no 10b5-1 plan indicated</w:t>
            </w:r>
          </w:p>
        </w:tc>
      </w:tr>
      <w:tr>
        <w:tc>
          <w:tcPr>
            <w:tcW w:type="dxa" w:w="1440"/>
          </w:tcPr>
          <w:p>
            <w:r>
              <w:rPr>
                <w:rFonts w:ascii="Calibri" w:hAnsi="Calibri"/>
                <w:sz w:val="22"/>
              </w:rPr>
              <w:t>Edward D. Breen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32,440 shares</w:t>
            </w:r>
          </w:p>
        </w:tc>
        <w:tc>
          <w:tcPr>
            <w:tcW w:type="dxa" w:w="1440"/>
          </w:tcPr>
          <w:p>
            <w:r>
              <w:rPr>
                <w:rFonts w:ascii="Calibri" w:hAnsi="Calibri"/>
                <w:sz w:val="22"/>
              </w:rPr>
              <w:t>May 11, 2026</w:t>
            </w:r>
          </w:p>
        </w:tc>
        <w:tc>
          <w:tcPr>
            <w:tcW w:type="dxa" w:w="1440"/>
          </w:tcPr>
          <w:p>
            <w:r>
              <w:rPr>
                <w:rFonts w:ascii="Calibri" w:hAnsi="Calibri"/>
                <w:sz w:val="22"/>
              </w:rPr>
              <w:t>Routine director equity compensation; not an open-market purchase</w:t>
            </w:r>
          </w:p>
        </w:tc>
      </w:tr>
    </w:tbl>
    <w:p>
      <w:r>
        <w:rPr>
          <w:rFonts w:ascii="Calibri" w:hAnsi="Calibri"/>
          <w:i/>
          <w:color w:val="525866"/>
          <w:sz w:val="22"/>
        </w:rPr>
        <w:t xml:space="preserve">Source: SEC Form 4 Filings (Insider Transaction Data). </w:t>
      </w:r>
      <w:r>
        <w:rPr>
          <w:rFonts w:ascii="Calibri" w:hAnsi="Calibri"/>
          <w:b/>
          <w:color w:val="525866"/>
          <w:sz w:val="22"/>
        </w:rPr>
        <w:t xml:space="preserve">Note: </w:t>
      </w:r>
      <w:r>
        <w:rPr>
          <w:rFonts w:ascii="Calibri" w:hAnsi="Calibri"/>
          <w:i/>
          <w:color w:val="525866"/>
          <w:sz w:val="22"/>
        </w:rPr>
        <w:t>All transactions in the window are equity awards (code ‘A’) or award dispositions (code ‘G’) — none are open-market purchases (code ‘P’) or open-market sales (code ‘S’). No 10b5-1 plan initiations were identified for CMCSA in this period. The absence of open-market buying by executives at a stock trading at 7.8x NTM P/E and 5.1x NTM EV/EBITDA is notable but may reflect spin-off-related blackout periods and disclosure constraints associated with the June 29 NBCU separation announcement.</w:t>
      </w:r>
    </w:p>
    <w:p>
      <w:pPr>
        <w:pStyle w:val="Heading2"/>
      </w:pPr>
      <w:r>
        <w:rPr>
          <w:rFonts w:ascii="Calibri" w:hAnsi="Calibri"/>
          <w:b/>
          <w:color w:val="3B4259"/>
          <w:sz w:val="28"/>
        </w:rPr>
        <w:t>Appendix: Key Risks to Watch on the Q2 Call</w:t>
      </w:r>
    </w:p>
    <w:p>
      <w:pPr>
        <w:pStyle w:val="ListBullet"/>
        <w:ind w:left="360" w:hanging="360"/>
      </w:pPr>
      <w:r>
        <w:rPr>
          <w:rFonts w:ascii="Calibri" w:hAnsi="Calibri"/>
          <w:b/>
          <w:color w:val="525866"/>
          <w:sz w:val="22"/>
        </w:rPr>
        <w:t>Broadband ARPU trajectory:</w:t>
      </w:r>
      <w:r>
        <w:rPr>
          <w:rFonts w:ascii="Calibri" w:hAnsi="Calibri"/>
          <w:color w:val="525866"/>
          <w:sz w:val="22"/>
        </w:rPr>
        <w:t xml:space="preserve"> Any quantification of the H2 2026 ARPU recovery timeline from free line conversions to paid relationships will be closely watched.</w:t>
      </w:r>
    </w:p>
    <w:p>
      <w:pPr>
        <w:pStyle w:val="ListBullet"/>
        <w:ind w:left="360" w:hanging="360"/>
      </w:pPr>
      <w:r>
        <w:rPr>
          <w:rFonts w:ascii="Calibri" w:hAnsi="Calibri"/>
          <w:b/>
          <w:color w:val="525866"/>
          <w:sz w:val="22"/>
        </w:rPr>
        <w:t>Domestic parks quantification:</w:t>
      </w:r>
      <w:r>
        <w:rPr>
          <w:rFonts w:ascii="Calibri" w:hAnsi="Calibri"/>
          <w:color w:val="525866"/>
          <w:sz w:val="22"/>
        </w:rPr>
        <w:t xml:space="preserve"> Management acknowledged softness at Evercore (Jun 2) but provided no numbers; Q2 actuals will be the first hard data point.</w:t>
      </w:r>
    </w:p>
    <w:p>
      <w:pPr>
        <w:pStyle w:val="ListBullet"/>
        <w:ind w:left="360" w:hanging="360"/>
      </w:pPr>
      <w:r>
        <w:rPr>
          <w:rFonts w:ascii="Calibri" w:hAnsi="Calibri"/>
          <w:b/>
          <w:color w:val="525866"/>
          <w:sz w:val="22"/>
        </w:rPr>
        <w:t>NBCU spin-off financial structure:</w:t>
      </w:r>
      <w:r>
        <w:rPr>
          <w:rFonts w:ascii="Calibri" w:hAnsi="Calibri"/>
          <w:color w:val="525866"/>
          <w:sz w:val="22"/>
        </w:rPr>
        <w:t xml:space="preserve"> Leverage targets, capital allocation, and timeline details for both entities will be the most anticipated new disclosure on the call.</w:t>
      </w:r>
    </w:p>
    <w:p>
      <w:pPr>
        <w:pStyle w:val="ListBullet"/>
        <w:ind w:left="360" w:hanging="360"/>
      </w:pPr>
      <w:r>
        <w:rPr>
          <w:rFonts w:ascii="Calibri" w:hAnsi="Calibri"/>
          <w:b/>
          <w:color w:val="525866"/>
          <w:sz w:val="22"/>
        </w:rPr>
        <w:t>Peacock EBITDA magnitude:</w:t>
      </w:r>
      <w:r>
        <w:rPr>
          <w:rFonts w:ascii="Calibri" w:hAnsi="Calibri"/>
          <w:color w:val="525866"/>
          <w:sz w:val="22"/>
        </w:rPr>
        <w:t xml:space="preserve"> Consensus expects ~+$27M; any upside vs. this figure would be a positive catalyst given the milestone significance.</w:t>
      </w:r>
    </w:p>
    <w:p>
      <w:pPr>
        <w:pStyle w:val="ListBullet"/>
        <w:ind w:left="360" w:hanging="360"/>
      </w:pPr>
      <w:r>
        <w:rPr>
          <w:rFonts w:ascii="Calibri" w:hAnsi="Calibri"/>
          <w:b/>
          <w:color w:val="525866"/>
          <w:sz w:val="22"/>
        </w:rPr>
        <w:t>Wireless net adds and free-to-paid conversion data:</w:t>
      </w:r>
      <w:r>
        <w:rPr>
          <w:rFonts w:ascii="Calibri" w:hAnsi="Calibri"/>
          <w:color w:val="525866"/>
          <w:sz w:val="22"/>
        </w:rPr>
        <w:t xml:space="preserve"> Early cohort conversion rates and the pace of paid line ramp in H2 will be key inputs to the convergence ARPA growth story.</w:t>
      </w:r>
    </w:p>
    <w:p>
      <w:pPr>
        <w:pStyle w:val="ListBullet"/>
        <w:ind w:left="360" w:hanging="360"/>
      </w:pPr>
      <w:r>
        <w:rPr>
          <w:rFonts w:ascii="Calibri" w:hAnsi="Calibri"/>
          <w:b/>
          <w:color w:val="525866"/>
          <w:sz w:val="22"/>
        </w:rPr>
        <w:t>Satellite/SpaceX competitive commentary:</w:t>
      </w:r>
      <w:r>
        <w:rPr>
          <w:rFonts w:ascii="Calibri" w:hAnsi="Calibri"/>
          <w:color w:val="525866"/>
          <w:sz w:val="22"/>
        </w:rPr>
        <w:t xml:space="preserve"> Management’s updated view on satellite competitive intensity following the Charter/SpaceX partnership reports will be closely scrutinized.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