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me-earnings-predictions--2026-07-22"/>
    <w:p>
      <w:pPr>
        <w:pStyle w:val="Heading1"/>
      </w:pPr>
      <w:r>
        <w:t xml:space="preserve">CME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~$1.705B vs. cons $1.71B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~$3.02 vs. cons $2.98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Average Daily Volume (ADV, contracts)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~29.8M vs. cons ~30.5M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Opex ex-license fees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~$1.70B vs. cons $1.695B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Market data revenue growth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~13% vs. cons 14.6%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Rate-per-contract (RPC) trend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~$0.65 vs. cons $0.66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(FOLLOW-THROUGH)</w:t>
            </w:r>
          </w:p>
        </w:tc>
        <w:tc>
          <w:tcPr/>
          <w:p>
            <w:pPr>
              <w:pStyle w:val="Compact"/>
            </w:pPr>
            <w:r>
              <w:t xml:space="preserve">Bar was already lowered into the print (30-day downward EPS revisions, Zacks #4 Sell, tough Q2'25 comp), so an EPS beat plus documented May/June ADV reacceleration (33.2M and 30.6M records) gives sell-side (KBW, Redburn, Piper already bullish at ~$313-320 PT) ammunition to raise H2 volume/EPS estimates even as RPC mix compression and litigation overhang persist; oversold bounce (stock -28-30% off highs) plus new product catalysts (Single Stock Futures July 27) support continued drift higher over the week rather than a fade, though unresolved CFTC/perpetuals litigation caps upside and could truncate follow-through if commentary disappoints.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2026-07-22T00:08:19Z</dcterms:created>
  <dcterms:modified xsi:type="dcterms:W3CDTF">2026-07-22T00:08:19Z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