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b1e2fee324ee70c6561b8514ed1720e337e0bf4"/>
    <w:p>
      <w:pPr>
        <w:pStyle w:val="Heading1"/>
      </w:pPr>
      <w:r>
        <w:t xml:space="preserve">CME Group (NASDAQ: CME) — 2Q26 Earnings Preview</w:t>
      </w:r>
    </w:p>
    <w:p>
      <w:pPr>
        <w:pStyle w:val="FirstParagraph"/>
      </w:pPr>
      <w:r>
        <w:rPr>
          <w:b/>
          <w:bCs/>
        </w:rPr>
        <w:t xml:space="preserve">Report date:</w:t>
      </w:r>
      <w:r>
        <w:t xml:space="preserve"> </w:t>
      </w:r>
      <w:r>
        <w:t xml:space="preserve">Wednesday, July 22, 2026, before market open</w:t>
      </w:r>
      <w:r>
        <w:br/>
      </w:r>
      <w:r>
        <w:rPr>
          <w:b/>
          <w:bCs/>
        </w:rPr>
        <w:t xml:space="preserve">Call:</w:t>
      </w:r>
      <w:r>
        <w:t xml:space="preserve"> </w:t>
      </w:r>
      <w:r>
        <w:t xml:space="preserve">8:30 a.m. ET</w:t>
      </w:r>
      <w:r>
        <w:br/>
      </w:r>
      <w:r>
        <w:rPr>
          <w:b/>
          <w:bCs/>
        </w:rPr>
        <w:t xml:space="preserve">Focus:</w:t>
      </w:r>
      <w:r>
        <w:t xml:space="preserve"> </w:t>
      </w:r>
      <w:r>
        <w:t xml:space="preserve">Whether solid but decelerating Q2 volumes, a potentially softer rate-per-contract mix, and continued investment can support earnings expectations after CME’s record 1Q.</w:t>
      </w:r>
    </w:p>
    <w:bookmarkStart w:id="11" w:name="bottom-line"/>
    <w:p>
      <w:pPr>
        <w:pStyle w:val="Heading2"/>
      </w:pPr>
      <w:r>
        <w:t xml:space="preserve">Bottom line</w:t>
      </w:r>
    </w:p>
    <w:p>
      <w:pPr>
        <w:pStyle w:val="FirstParagraph"/>
      </w:pPr>
      <w:r>
        <w:t xml:space="preserve">CME enters 2Q earnings with a</w:t>
      </w:r>
      <w:r>
        <w:t xml:space="preserve"> </w:t>
      </w:r>
      <w:r>
        <w:rPr>
          <w:b/>
          <w:bCs/>
        </w:rPr>
        <w:t xml:space="preserve">constructive operational setup but a more demanding quality-of-results debate</w:t>
      </w:r>
      <w:r>
        <w:t xml:space="preserve">. The company’s reported 2Q average daily volume (ADV) was</w:t>
      </w:r>
      <w:r>
        <w:t xml:space="preserve"> </w:t>
      </w:r>
      <w:r>
        <w:rPr>
          <w:b/>
          <w:bCs/>
        </w:rPr>
        <w:t xml:space="preserve">29.8 million contracts</w:t>
      </w:r>
      <w:r>
        <w:t xml:space="preserve">—its second-highest Q2 ever—but that was modestly below the</w:t>
      </w:r>
      <w:r>
        <w:t xml:space="preserve"> </w:t>
      </w:r>
      <w:r>
        <w:rPr>
          <w:b/>
          <w:bCs/>
        </w:rPr>
        <w:t xml:space="preserve">30.2 million</w:t>
      </w:r>
      <w:r>
        <w:t xml:space="preserve"> </w:t>
      </w:r>
      <w:r>
        <w:t xml:space="preserve">record posted in 2Q25. The key distinction is mix: equity-index, agricultural, crypto and several Treasury products grew, while the exceptionally strong energy and rates activity that powered 1Q moderated. (</w:t>
      </w:r>
      <w:hyperlink r:id="rId9">
        <w:r>
          <w:rPr>
            <w:rStyle w:val="Hyperlink"/>
          </w:rPr>
          <w:t xml:space="preserve">cmegroup.com</w:t>
        </w:r>
      </w:hyperlink>
      <w:r>
        <w:t xml:space="preserve">)</w:t>
      </w:r>
    </w:p>
    <w:p>
      <w:pPr>
        <w:pStyle w:val="BodyText"/>
      </w:pPr>
      <w:r>
        <w:t xml:space="preserve">The headline setup therefore looks more like</w:t>
      </w:r>
      <w:r>
        <w:t xml:space="preserve"> </w:t>
      </w:r>
      <w:r>
        <w:rPr>
          <w:b/>
          <w:bCs/>
        </w:rPr>
        <w:t xml:space="preserve">stable-to-modest revenue growth and approximately flat adjusted EPS year over year</w:t>
      </w:r>
      <w:r>
        <w:t xml:space="preserve">, rather than a repeat of 1Q’s record, broad-based upside. Published estimates cluster around roughly</w:t>
      </w:r>
      <w:r>
        <w:t xml:space="preserve"> </w:t>
      </w:r>
      <m:oMath>
        <m:r>
          <m:t>2.92</m:t>
        </m:r>
        <m:r>
          <m:rPr>
            <m:sty m:val="p"/>
          </m:rPr>
          <m:t>–</m:t>
        </m:r>
      </m:oMath>
      <w:r>
        <w:rPr>
          <w:b/>
          <w:bCs/>
        </w:rPr>
        <w:t xml:space="preserve">2.99 in 2Q adjusted EPS</w:t>
      </w:r>
      <w:r>
        <w:t xml:space="preserve"> </w:t>
      </w:r>
      <w:r>
        <w:t xml:space="preserve">and about</w:t>
      </w:r>
      <w:r>
        <w:t xml:space="preserve"> </w:t>
      </w:r>
      <m:oMath>
        <m:r>
          <m:t>1.72</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t>v</m:t>
        </m:r>
        <m:r>
          <m:t>e</m:t>
        </m:r>
        <m:r>
          <m:t>r</m:t>
        </m:r>
        <m:r>
          <m:t>s</m:t>
        </m:r>
        <m:r>
          <m:t>u</m:t>
        </m:r>
        <m:r>
          <m:t>s</m:t>
        </m:r>
        <m:r>
          <m:t>2</m:t>
        </m:r>
        <m:r>
          <m:t>Q</m:t>
        </m:r>
        <m:r>
          <m:t>25</m:t>
        </m:r>
        <m:r>
          <m:t>a</m:t>
        </m:r>
        <m:r>
          <m:t>d</m:t>
        </m:r>
        <m:r>
          <m:t>j</m:t>
        </m:r>
        <m:r>
          <m:t>u</m:t>
        </m:r>
        <m:r>
          <m:t>s</m:t>
        </m:r>
        <m:r>
          <m:t>t</m:t>
        </m:r>
        <m:r>
          <m:t>e</m:t>
        </m:r>
        <m:r>
          <m:t>d</m:t>
        </m:r>
        <m:r>
          <m:t>E</m:t>
        </m:r>
        <m:r>
          <m:t>P</m:t>
        </m:r>
        <m:r>
          <m:t>S</m:t>
        </m:r>
        <m:r>
          <m:t>o</m:t>
        </m:r>
        <m:r>
          <m:t>f</m:t>
        </m:r>
        <m:r>
          <m:rPr>
            <m:sty m:val="p"/>
          </m:rPr>
          <m:t>*</m:t>
        </m:r>
        <m:r>
          <m:rPr>
            <m:sty m:val="p"/>
          </m:rPr>
          <m:t>*</m:t>
        </m:r>
      </m:oMath>
      <w:r>
        <w:rPr>
          <w:b/>
          <w:bCs/>
        </w:rPr>
        <w:t xml:space="preserve">2.96</w:t>
      </w:r>
      <w:r>
        <w:t xml:space="preserve"> </w:t>
      </w:r>
      <w:r>
        <w:t xml:space="preserve">and revenue of</w:t>
      </w:r>
      <w:r>
        <w:t xml:space="preserve"> </w:t>
      </w:r>
      <w:r>
        <w:rPr>
          <w:b/>
          <w:bCs/>
        </w:rPr>
        <w:t xml:space="preserve">$1.69 billion</w:t>
      </w:r>
      <w:r>
        <w:t xml:space="preserve">. (</w:t>
      </w:r>
      <w:hyperlink r:id="rId10">
        <w:r>
          <w:rPr>
            <w:rStyle w:val="Hyperlink"/>
          </w:rPr>
          <w:t xml:space="preserve">benzinga.com</w:t>
        </w:r>
      </w:hyperlink>
      <w:r>
        <w:t xml:space="preserve">)</w:t>
      </w:r>
    </w:p>
    <w:p>
      <w:pPr>
        <w:pStyle w:val="BodyText"/>
      </w:pPr>
      <w:r>
        <w:t xml:space="preserve">The most important investor question is not whether CME had a good quarter—it did by most historical standards—but whether</w:t>
      </w:r>
      <w:r>
        <w:t xml:space="preserve"> </w:t>
      </w:r>
      <w:r>
        <w:rPr>
          <w:b/>
          <w:bCs/>
        </w:rPr>
        <w:t xml:space="preserve">revenue capture, expense discipline, and the outlook for the second half</w:t>
      </w:r>
      <w:r>
        <w:t xml:space="preserve"> </w:t>
      </w:r>
      <w:r>
        <w:t xml:space="preserve">offset the year-over-year volume comparison and validate a return to durable growth after the recent equity-price weakness.</w:t>
      </w:r>
    </w:p>
    <w:p>
      <w:r>
        <w:pict>
          <v:rect style="width:0;height:1.5pt" o:hralign="center" o:hrstd="t" o:hr="t"/>
        </w:pict>
      </w:r>
    </w:p>
    <w:bookmarkEnd w:id="11"/>
    <w:bookmarkStart w:id="18" w:name="what-matters-most-this-quarter"/>
    <w:p>
      <w:pPr>
        <w:pStyle w:val="Heading2"/>
      </w:pPr>
      <w:r>
        <w:t xml:space="preserve">What matters most this quarter</w:t>
      </w:r>
    </w:p>
    <w:bookmarkStart w:id="13" w:name="X2442d2fb90352d5638c979eafe161e61392dbfc"/>
    <w:p>
      <w:pPr>
        <w:pStyle w:val="Heading3"/>
      </w:pPr>
      <w:r>
        <w:t xml:space="preserve">1. Rate per contract is likely the pivotal earnings variable</w:t>
      </w:r>
    </w:p>
    <w:p>
      <w:pPr>
        <w:pStyle w:val="FirstParagraph"/>
      </w:pPr>
      <w:r>
        <w:t xml:space="preserve">CME’s 1Q26 clearing and transaction fee growth was powered by record 36.2 million ADV, but average rate per contract fell to</w:t>
      </w:r>
      <w:r>
        <w:t xml:space="preserve"> </w:t>
      </w:r>
      <m:oMath>
        <m:r>
          <m:t>0.652</m:t>
        </m:r>
        <m:r>
          <m:rPr>
            <m:sty m:val="p"/>
          </m:rPr>
          <m:t>*</m:t>
        </m:r>
        <m:r>
          <m:rPr>
            <m:sty m:val="p"/>
          </m:rPr>
          <m:t>*</m:t>
        </m:r>
        <m:r>
          <m:t>f</m:t>
        </m:r>
        <m:r>
          <m:t>r</m:t>
        </m:r>
        <m:r>
          <m:t>o</m:t>
        </m:r>
        <m:r>
          <m:t>m</m:t>
        </m:r>
        <m:r>
          <m:rPr>
            <m:sty m:val="p"/>
          </m:rPr>
          <m:t>*</m:t>
        </m:r>
        <m:r>
          <m:rPr>
            <m:sty m:val="p"/>
          </m:rPr>
          <m:t>*</m:t>
        </m:r>
      </m:oMath>
      <w:r>
        <w:rPr>
          <w:b/>
          <w:bCs/>
        </w:rPr>
        <w:t xml:space="preserve">0.686</w:t>
      </w:r>
      <w:r>
        <w:t xml:space="preserve"> </w:t>
      </w:r>
      <w:r>
        <w:t xml:space="preserve">a year earlier as volume tiers and lower-priced product mix affected monetization. The company explicitly characterized tiering as an intentional mechanism that encourages incremental volume, but investors will be focused on whether the 2Q volume mix produces a further step-down in capture. (</w:t>
      </w:r>
      <w:hyperlink r:id="rId12">
        <w:r>
          <w:rPr>
            <w:rStyle w:val="Hyperlink"/>
          </w:rPr>
          <w:t xml:space="preserve">cmegroup.com</w:t>
        </w:r>
      </w:hyperlink>
      <w:r>
        <w:t xml:space="preserve">)</w:t>
      </w:r>
    </w:p>
    <w:p>
      <w:pPr>
        <w:pStyle w:val="BodyText"/>
      </w:pPr>
      <w:r>
        <w:t xml:space="preserve">The 2Q product mix creates a two-sided setup:</w:t>
      </w:r>
    </w:p>
    <w:p>
      <w:pPr>
        <w:pStyle w:val="Compact"/>
        <w:numPr>
          <w:ilvl w:val="0"/>
          <w:numId w:val="1001"/>
        </w:numPr>
      </w:pPr>
      <w:r>
        <w:rPr>
          <w:b/>
          <w:bCs/>
        </w:rPr>
        <w:t xml:space="preserve">Positive:</w:t>
      </w:r>
      <w:r>
        <w:t xml:space="preserve"> </w:t>
      </w:r>
      <w:r>
        <w:t xml:space="preserve">More activity in equity indices, agricultural products, metals, crypto, and options can support clearing revenue diversification.</w:t>
      </w:r>
    </w:p>
    <w:p>
      <w:pPr>
        <w:pStyle w:val="Compact"/>
        <w:numPr>
          <w:ilvl w:val="0"/>
          <w:numId w:val="1001"/>
        </w:numPr>
      </w:pPr>
      <w:r>
        <w:rPr>
          <w:b/>
          <w:bCs/>
        </w:rPr>
        <w:t xml:space="preserve">Risk:</w:t>
      </w:r>
      <w:r>
        <w:t xml:space="preserve"> </w:t>
      </w:r>
      <w:r>
        <w:t xml:space="preserve">Micro products are growing rapidly and are strategically valuable for retail acquisition, but generally carry lower economics per contract. Energy volumes were also lower than the prior-year quarter, removing a historically high-value contributor.</w:t>
      </w:r>
    </w:p>
    <w:p>
      <w:pPr>
        <w:pStyle w:val="FirstParagraph"/>
      </w:pPr>
      <w:r>
        <w:t xml:space="preserve">This makes</w:t>
      </w:r>
      <w:r>
        <w:t xml:space="preserve"> </w:t>
      </w:r>
      <w:r>
        <w:rPr>
          <w:b/>
          <w:bCs/>
        </w:rPr>
        <w:t xml:space="preserve">clearing-and-transaction-fee revenue, total RPC, and product-level RPC</w:t>
      </w:r>
      <w:r>
        <w:t xml:space="preserve"> </w:t>
      </w:r>
      <w:r>
        <w:t xml:space="preserve">more important than headline ADV alone.</w:t>
      </w:r>
    </w:p>
    <w:bookmarkEnd w:id="13"/>
    <w:bookmarkStart w:id="14" w:name="X64e7706b5b759f5eb9c2b8964c2eac36639ba32"/>
    <w:p>
      <w:pPr>
        <w:pStyle w:val="Heading3"/>
      </w:pPr>
      <w:r>
        <w:t xml:space="preserve">2. Q2 volume was resilient—but not uniformly strong</w:t>
      </w:r>
    </w:p>
    <w:p>
      <w:pPr>
        <w:pStyle w:val="FirstParagraph"/>
      </w:pPr>
      <w:r>
        <w:t xml:space="preserve">CME reported</w:t>
      </w:r>
      <w:r>
        <w:t xml:space="preserve"> </w:t>
      </w:r>
      <w:r>
        <w:rPr>
          <w:b/>
          <w:bCs/>
        </w:rPr>
        <w:t xml:space="preserve">29.8 million 2Q ADV</w:t>
      </w:r>
      <w:r>
        <w:t xml:space="preserve">, down about 1% from the 30.2 million contracts in 2Q25. Within that result, however, the company reported: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2Q26 operating indicator</w:t>
            </w:r>
          </w:p>
        </w:tc>
        <w:tc>
          <w:tcPr/>
          <w:p>
            <w:pPr>
              <w:pStyle w:val="Compact"/>
              <w:jc w:val="right"/>
            </w:pPr>
            <w:r>
              <w:t xml:space="preserve">Result</w:t>
            </w:r>
          </w:p>
        </w:tc>
        <w:tc>
          <w:tcPr/>
          <w:p>
            <w:pPr>
              <w:pStyle w:val="Compact"/>
            </w:pPr>
            <w:r>
              <w:t xml:space="preserve">Investor read-through</w:t>
            </w:r>
          </w:p>
        </w:tc>
      </w:tr>
      <w:tr>
        <w:tc>
          <w:tcPr/>
          <w:p>
            <w:pPr>
              <w:pStyle w:val="Compact"/>
            </w:pPr>
            <w:r>
              <w:t xml:space="preserve">Total ADV</w:t>
            </w:r>
          </w:p>
        </w:tc>
        <w:tc>
          <w:tcPr/>
          <w:p>
            <w:pPr>
              <w:pStyle w:val="Compact"/>
              <w:jc w:val="right"/>
            </w:pPr>
            <w:r>
              <w:t xml:space="preserve">29.8M</w:t>
            </w:r>
          </w:p>
        </w:tc>
        <w:tc>
          <w:tcPr/>
          <w:p>
            <w:pPr>
              <w:pStyle w:val="Compact"/>
            </w:pPr>
            <w:r>
              <w:t xml:space="preserve">Near-record quarter, but slightly below 2Q25</w:t>
            </w:r>
          </w:p>
        </w:tc>
      </w:tr>
      <w:tr>
        <w:tc>
          <w:tcPr/>
          <w:p>
            <w:pPr>
              <w:pStyle w:val="Compact"/>
            </w:pPr>
            <w:r>
              <w:t xml:space="preserve">Interest-rate ADV</w:t>
            </w:r>
          </w:p>
        </w:tc>
        <w:tc>
          <w:tcPr/>
          <w:p>
            <w:pPr>
              <w:pStyle w:val="Compact"/>
              <w:jc w:val="right"/>
            </w:pPr>
            <w:r>
              <w:t xml:space="preserve">14.5M</w:t>
            </w:r>
          </w:p>
        </w:tc>
        <w:tc>
          <w:tcPr/>
          <w:p>
            <w:pPr>
              <w:pStyle w:val="Compact"/>
            </w:pPr>
            <w:r>
              <w:t xml:space="preserve">Core franchise remained large, but likely below the prior-year quarter</w:t>
            </w:r>
          </w:p>
        </w:tc>
      </w:tr>
      <w:tr>
        <w:tc>
          <w:tcPr/>
          <w:p>
            <w:pPr>
              <w:pStyle w:val="Compact"/>
            </w:pPr>
            <w:r>
              <w:t xml:space="preserve">Equity-index ADV</w:t>
            </w:r>
          </w:p>
        </w:tc>
        <w:tc>
          <w:tcPr/>
          <w:p>
            <w:pPr>
              <w:pStyle w:val="Compact"/>
              <w:jc w:val="right"/>
            </w:pPr>
            <w:r>
              <w:t xml:space="preserve">8.6M, +13% YoY</w:t>
            </w:r>
          </w:p>
        </w:tc>
        <w:tc>
          <w:tcPr/>
          <w:p>
            <w:pPr>
              <w:pStyle w:val="Compact"/>
            </w:pPr>
            <w:r>
              <w:t xml:space="preserve">Important growth driver; retail/micro participation remains strong</w:t>
            </w:r>
          </w:p>
        </w:tc>
      </w:tr>
      <w:tr>
        <w:tc>
          <w:tcPr/>
          <w:p>
            <w:pPr>
              <w:pStyle w:val="Compact"/>
            </w:pPr>
            <w:r>
              <w:t xml:space="preserve">Energy ADV</w:t>
            </w:r>
          </w:p>
        </w:tc>
        <w:tc>
          <w:tcPr/>
          <w:p>
            <w:pPr>
              <w:pStyle w:val="Compact"/>
              <w:jc w:val="right"/>
            </w:pPr>
            <w:r>
              <w:t xml:space="preserve">2.7M</w:t>
            </w:r>
          </w:p>
        </w:tc>
        <w:tc>
          <w:tcPr/>
          <w:p>
            <w:pPr>
              <w:pStyle w:val="Compact"/>
            </w:pPr>
            <w:r>
              <w:t xml:space="preserve">Lower year over year, creating a mix and monetization headwind</w:t>
            </w:r>
          </w:p>
        </w:tc>
      </w:tr>
      <w:tr>
        <w:tc>
          <w:tcPr/>
          <w:p>
            <w:pPr>
              <w:pStyle w:val="Compact"/>
            </w:pPr>
            <w:r>
              <w:t xml:space="preserve">Agricultural ADV</w:t>
            </w:r>
          </w:p>
        </w:tc>
        <w:tc>
          <w:tcPr/>
          <w:p>
            <w:pPr>
              <w:pStyle w:val="Compact"/>
              <w:jc w:val="right"/>
            </w:pPr>
            <w:r>
              <w:t xml:space="preserve">2.1M, +6% YoY</w:t>
            </w:r>
          </w:p>
        </w:tc>
        <w:tc>
          <w:tcPr/>
          <w:p>
            <w:pPr>
              <w:pStyle w:val="Compact"/>
            </w:pPr>
            <w:r>
              <w:t xml:space="preserve">Constructive diversification and commercial hedging demand</w:t>
            </w:r>
          </w:p>
        </w:tc>
      </w:tr>
      <w:tr>
        <w:tc>
          <w:tcPr/>
          <w:p>
            <w:pPr>
              <w:pStyle w:val="Compact"/>
            </w:pPr>
            <w:r>
              <w:t xml:space="preserve">Crypto ADV</w:t>
            </w:r>
          </w:p>
        </w:tc>
        <w:tc>
          <w:tcPr/>
          <w:p>
            <w:pPr>
              <w:pStyle w:val="Compact"/>
              <w:jc w:val="right"/>
            </w:pPr>
            <w:r>
              <w:t xml:space="preserve">250K, +32% YoY</w:t>
            </w:r>
          </w:p>
        </w:tc>
        <w:tc>
          <w:tcPr/>
          <w:p>
            <w:pPr>
              <w:pStyle w:val="Compact"/>
            </w:pPr>
            <w:r>
              <w:t xml:space="preserve">Small today, but strategically relevant</w:t>
            </w:r>
          </w:p>
        </w:tc>
      </w:tr>
      <w:tr>
        <w:tc>
          <w:tcPr/>
          <w:p>
            <w:pPr>
              <w:pStyle w:val="Compact"/>
            </w:pPr>
            <w:r>
              <w:t xml:space="preserve">June international ADV</w:t>
            </w:r>
          </w:p>
        </w:tc>
        <w:tc>
          <w:tcPr/>
          <w:p>
            <w:pPr>
              <w:pStyle w:val="Compact"/>
              <w:jc w:val="right"/>
            </w:pPr>
            <w:r>
              <w:t xml:space="preserve">9.3M, +17% YoY</w:t>
            </w:r>
          </w:p>
        </w:tc>
        <w:tc>
          <w:tcPr/>
          <w:p>
            <w:pPr>
              <w:pStyle w:val="Compact"/>
            </w:pPr>
            <w:r>
              <w:t xml:space="preserve">Supports the long-term global growth thesis</w:t>
            </w:r>
          </w:p>
        </w:tc>
      </w:tr>
    </w:tbl>
    <w:p>
      <w:pPr>
        <w:pStyle w:val="BodyText"/>
      </w:pPr>
      <w:r>
        <w:t xml:space="preserve">(</w:t>
      </w:r>
      <w:hyperlink r:id="rId9">
        <w:r>
          <w:rPr>
            <w:rStyle w:val="Hyperlink"/>
          </w:rPr>
          <w:t xml:space="preserve">cmegroup.com</w:t>
        </w:r>
      </w:hyperlink>
      <w:r>
        <w:t xml:space="preserve">)</w:t>
      </w:r>
    </w:p>
    <w:p>
      <w:pPr>
        <w:pStyle w:val="BodyText"/>
      </w:pPr>
      <w:r>
        <w:t xml:space="preserve">June was particularly strong: total ADV reached a June record</w:t>
      </w:r>
      <w:r>
        <w:t xml:space="preserve"> </w:t>
      </w:r>
      <w:r>
        <w:rPr>
          <w:b/>
          <w:bCs/>
        </w:rPr>
        <w:t xml:space="preserve">30.6 million contracts</w:t>
      </w:r>
      <w:r>
        <w:t xml:space="preserve">, up 19% year over year, led by record equity-index and agricultural volumes. That exit rate should help offset a softer April and supports the case that CME’s franchise momentum remains intact even as activity rotates among asset classes. (</w:t>
      </w:r>
      <w:hyperlink r:id="rId9">
        <w:r>
          <w:rPr>
            <w:rStyle w:val="Hyperlink"/>
          </w:rPr>
          <w:t xml:space="preserve">cmegroup.com</w:t>
        </w:r>
      </w:hyperlink>
      <w:r>
        <w:t xml:space="preserve">)</w:t>
      </w:r>
    </w:p>
    <w:bookmarkEnd w:id="14"/>
    <w:bookmarkStart w:id="16" w:name="Xbece5dd3bfca2335266b8edcc10375d8db96b92"/>
    <w:p>
      <w:pPr>
        <w:pStyle w:val="Heading3"/>
      </w:pPr>
      <w:r>
        <w:t xml:space="preserve">3. Expense guidance is a key swing factor</w:t>
      </w:r>
    </w:p>
    <w:p>
      <w:pPr>
        <w:pStyle w:val="FirstParagraph"/>
      </w:pPr>
      <w:r>
        <w:t xml:space="preserve">CME guided to full-year adjusted operating expense excluding license fees of approximately</w:t>
      </w:r>
      <w:r>
        <w:t xml:space="preserve"> </w:t>
      </w:r>
      <w:r>
        <w:rPr>
          <w:b/>
          <w:bCs/>
        </w:rPr>
        <w:t xml:space="preserve">$1.695 billion</w:t>
      </w:r>
      <w:r>
        <w:t xml:space="preserve"> </w:t>
      </w:r>
      <w:r>
        <w:t xml:space="preserve">after 1Q. The company has flagged higher technology costs tied to cloud migration, along with occupancy costs associated with the Dallas facility. Investors should look for either a reaffirmation of that guide or evidence that activity-linked costs and implementation spending are moving higher than planned. (</w:t>
      </w:r>
      <w:hyperlink r:id="rId15">
        <w:r>
          <w:rPr>
            <w:rStyle w:val="Hyperlink"/>
          </w:rPr>
          <w:t xml:space="preserve">investor.cmegroup.com</w:t>
        </w:r>
      </w:hyperlink>
      <w:r>
        <w:t xml:space="preserve">)</w:t>
      </w:r>
    </w:p>
    <w:p>
      <w:pPr>
        <w:pStyle w:val="BodyText"/>
      </w:pPr>
      <w:r>
        <w:t xml:space="preserve">The bull case is that CME’s operating model still converts a high percentage of incremental revenue into earnings. The bear case is that 2Q combines less favorable RPC with a less attractive fixed-cost absorption profile than 1Q’s extraordinary volume environment.</w:t>
      </w:r>
    </w:p>
    <w:bookmarkEnd w:id="16"/>
    <w:bookmarkStart w:id="17" w:name="Xead6c97fdaa29c2de315425f8dbef852f78c673"/>
    <w:p>
      <w:pPr>
        <w:pStyle w:val="Heading3"/>
      </w:pPr>
      <w:r>
        <w:t xml:space="preserve">4. Market data and collateral balances can cushion volume cyclicality</w:t>
      </w:r>
    </w:p>
    <w:p>
      <w:pPr>
        <w:pStyle w:val="FirstParagraph"/>
      </w:pPr>
      <w:r>
        <w:t xml:space="preserve">Market data was a meaningful contributor in 1Q, reaching a record</w:t>
      </w:r>
      <w:r>
        <w:t xml:space="preserve"> </w:t>
      </w:r>
      <w:r>
        <w:rPr>
          <w:b/>
          <w:bCs/>
        </w:rPr>
        <w:t xml:space="preserve">$224 million</w:t>
      </w:r>
      <w:r>
        <w:t xml:space="preserve">, up 15% year over year. CME cited continued professional subscriber growth, simulated-trading activity, data-licensing initiatives, and retail ecosystem expansion. Sustained high-single- or low-double-digit market-data growth would be an important quality positive, since it is more recurring than transaction revenue. (</w:t>
      </w:r>
      <w:hyperlink r:id="rId15">
        <w:r>
          <w:rPr>
            <w:rStyle w:val="Hyperlink"/>
          </w:rPr>
          <w:t xml:space="preserve">investor.cmegroup.com</w:t>
        </w:r>
      </w:hyperlink>
      <w:r>
        <w:t xml:space="preserve">)</w:t>
      </w:r>
    </w:p>
    <w:p>
      <w:pPr>
        <w:pStyle w:val="BodyText"/>
      </w:pPr>
      <w:r>
        <w:t xml:space="preserve">Collateral balances also remain elevated. For the rolling three months ending May, CME reported average customer collateral balances of</w:t>
      </w:r>
      <w:r>
        <w:t xml:space="preserve"> </w:t>
      </w:r>
      <m:oMath>
        <m:r>
          <m:t>150.7</m:t>
        </m:r>
        <m:r>
          <m:t>b</m:t>
        </m:r>
        <m:r>
          <m:t>i</m:t>
        </m:r>
        <m:r>
          <m:t>l</m:t>
        </m:r>
        <m:r>
          <m:t>l</m:t>
        </m:r>
        <m:r>
          <m:t>i</m:t>
        </m:r>
        <m:r>
          <m:t>o</m:t>
        </m:r>
        <m:r>
          <m:t>n</m:t>
        </m:r>
        <m:r>
          <m:t>i</m:t>
        </m:r>
        <m:r>
          <m:t>n</m:t>
        </m:r>
        <m:r>
          <m:t>c</m:t>
        </m:r>
        <m:r>
          <m:t>a</m:t>
        </m:r>
        <m:r>
          <m:t>s</m:t>
        </m:r>
        <m:r>
          <m:t>h</m:t>
        </m:r>
        <m:r>
          <m:rPr>
            <m:sty m:val="p"/>
          </m:rPr>
          <m:t>*</m:t>
        </m:r>
        <m:r>
          <m:rPr>
            <m:sty m:val="p"/>
          </m:rPr>
          <m:t>*</m:t>
        </m:r>
        <m:r>
          <m:t>a</m:t>
        </m:r>
        <m:r>
          <m:t>n</m:t>
        </m:r>
        <m:r>
          <m:t>d</m:t>
        </m:r>
        <m:r>
          <m:rPr>
            <m:sty m:val="p"/>
          </m:rPr>
          <m:t>*</m:t>
        </m:r>
        <m:r>
          <m:rPr>
            <m:sty m:val="p"/>
          </m:rPr>
          <m:t>*</m:t>
        </m:r>
      </m:oMath>
      <w:r>
        <w:rPr>
          <w:b/>
          <w:bCs/>
        </w:rPr>
        <w:t xml:space="preserve">173.4 billion in non-cash collateral</w:t>
      </w:r>
      <w:r>
        <w:t xml:space="preserve">. Investors should watch the resulting net contribution from collateral balances and investment income, especially given the sensitivity of that line to short-term rates and balance composition. (</w:t>
      </w:r>
      <w:hyperlink r:id="rId9">
        <w:r>
          <w:rPr>
            <w:rStyle w:val="Hyperlink"/>
          </w:rPr>
          <w:t xml:space="preserve">cmegroup.com</w:t>
        </w:r>
      </w:hyperlink>
      <w:r>
        <w:t xml:space="preserve">)</w:t>
      </w:r>
    </w:p>
    <w:p>
      <w:r>
        <w:pict>
          <v:rect style="width:0;height:1.5pt" o:hralign="center" o:hrstd="t" o:hr="t"/>
        </w:pict>
      </w:r>
    </w:p>
    <w:bookmarkEnd w:id="17"/>
    <w:bookmarkEnd w:id="18"/>
    <w:bookmarkStart w:id="25" w:name="X74a0d236d2969c54a77639dff62db877d7a9b11"/>
    <w:p>
      <w:pPr>
        <w:pStyle w:val="Heading2"/>
      </w:pPr>
      <w:r>
        <w:t xml:space="preserve">The strategic items that could shape the call</w:t>
      </w:r>
    </w:p>
    <w:bookmarkStart w:id="20" w:name="Xbe0299aee58f6b0fbd9f906d84cefd72aafe6c6"/>
    <w:p>
      <w:pPr>
        <w:pStyle w:val="Heading3"/>
      </w:pPr>
      <w:r>
        <w:t xml:space="preserve">Treasury ecosystem: cross-margining, BrokerTec and Treasury Link</w:t>
      </w:r>
    </w:p>
    <w:p>
      <w:pPr>
        <w:pStyle w:val="FirstParagraph"/>
      </w:pPr>
      <w:r>
        <w:t xml:space="preserve">CME continues to strengthen the connectivity between its Treasury futures, clearing, and cash-market franchises. The company plans to launch</w:t>
      </w:r>
      <w:r>
        <w:t xml:space="preserve"> </w:t>
      </w:r>
      <w:r>
        <w:rPr>
          <w:b/>
          <w:bCs/>
        </w:rPr>
        <w:t xml:space="preserve">Treasury Link</w:t>
      </w:r>
      <w:r>
        <w:t xml:space="preserve"> </w:t>
      </w:r>
      <w:r>
        <w:t xml:space="preserve">in 4Q26, subject to regulatory review; it is designed to allow centralized execution of cash-Treasury/futures spreads and reduce legging risk. CME cites approximately</w:t>
      </w:r>
      <w:r>
        <w:t xml:space="preserve"> </w:t>
      </w:r>
      <w:r>
        <w:rPr>
          <w:b/>
          <w:bCs/>
        </w:rPr>
        <w:t xml:space="preserve">$27 billion</w:t>
      </w:r>
      <w:r>
        <w:t xml:space="preserve"> </w:t>
      </w:r>
      <w:r>
        <w:t xml:space="preserve">of capital efficiencies across cash, futures, and swaps, while H1 interest-rate futures and options ADV rose 9% year over year. (</w:t>
      </w:r>
      <w:hyperlink r:id="rId19">
        <w:r>
          <w:rPr>
            <w:rStyle w:val="Hyperlink"/>
          </w:rPr>
          <w:t xml:space="preserve">cmegroup.com</w:t>
        </w:r>
      </w:hyperlink>
      <w:r>
        <w:t xml:space="preserve">)</w:t>
      </w:r>
    </w:p>
    <w:p>
      <w:pPr>
        <w:pStyle w:val="BodyText"/>
      </w:pPr>
      <w:r>
        <w:t xml:space="preserve">This will not move 2Q earnings materially, but it is central to the longer-term argument that CME can monetize its unique combination of futures liquidity, BrokerTec cash trading, and clearing efficiencies.</w:t>
      </w:r>
    </w:p>
    <w:bookmarkEnd w:id="20"/>
    <w:bookmarkStart w:id="22" w:name="X8c1959b78e4d29f2e55651ee78d9142978dfe6b"/>
    <w:p>
      <w:pPr>
        <w:pStyle w:val="Heading3"/>
      </w:pPr>
      <w:r>
        <w:t xml:space="preserve">Retail expansion: micros, prediction markets and single-stock futures</w:t>
      </w:r>
    </w:p>
    <w:p>
      <w:pPr>
        <w:pStyle w:val="FirstParagraph"/>
      </w:pPr>
      <w:r>
        <w:t xml:space="preserve">Micro products remain a major growth vector. In June, micro equity-index futures and options represented</w:t>
      </w:r>
      <w:r>
        <w:t xml:space="preserve"> </w:t>
      </w:r>
      <w:r>
        <w:rPr>
          <w:b/>
          <w:bCs/>
        </w:rPr>
        <w:t xml:space="preserve">50% of CME’s equity-index ADV</w:t>
      </w:r>
      <w:r>
        <w:t xml:space="preserve">, while micro metals represented</w:t>
      </w:r>
      <w:r>
        <w:t xml:space="preserve"> </w:t>
      </w:r>
      <w:r>
        <w:rPr>
          <w:b/>
          <w:bCs/>
        </w:rPr>
        <w:t xml:space="preserve">53%</w:t>
      </w:r>
      <w:r>
        <w:t xml:space="preserve"> </w:t>
      </w:r>
      <w:r>
        <w:t xml:space="preserve">of metals ADV. That is strategically attractive because it broadens the customer funnel, even if it dilutes near-term average fees per contract. (</w:t>
      </w:r>
      <w:hyperlink r:id="rId9">
        <w:r>
          <w:rPr>
            <w:rStyle w:val="Hyperlink"/>
          </w:rPr>
          <w:t xml:space="preserve">cmegroup.com</w:t>
        </w:r>
      </w:hyperlink>
      <w:r>
        <w:t xml:space="preserve">)</w:t>
      </w:r>
    </w:p>
    <w:p>
      <w:pPr>
        <w:pStyle w:val="BodyText"/>
      </w:pPr>
      <w:r>
        <w:t xml:space="preserve">CME also plans to launch more than 50 single-stock futures contracts on</w:t>
      </w:r>
      <w:r>
        <w:t xml:space="preserve"> </w:t>
      </w:r>
      <w:r>
        <w:rPr>
          <w:b/>
          <w:bCs/>
        </w:rPr>
        <w:t xml:space="preserve">July 27, 2026</w:t>
      </w:r>
      <w:r>
        <w:t xml:space="preserve">, subject to final regulatory processes. The product is a credible incremental opportunity, but investors should treat it as a longer-duration option rather than a near-term earnings contributor. (</w:t>
      </w:r>
      <w:hyperlink r:id="rId21">
        <w:r>
          <w:rPr>
            <w:rStyle w:val="Hyperlink"/>
          </w:rPr>
          <w:t xml:space="preserve">cmegroup.com</w:t>
        </w:r>
      </w:hyperlink>
      <w:r>
        <w:t xml:space="preserve">)</w:t>
      </w:r>
    </w:p>
    <w:bookmarkEnd w:id="22"/>
    <w:bookmarkStart w:id="24" w:name="management-transition"/>
    <w:p>
      <w:pPr>
        <w:pStyle w:val="Heading3"/>
      </w:pPr>
      <w:r>
        <w:t xml:space="preserve">Management transition</w:t>
      </w:r>
    </w:p>
    <w:p>
      <w:pPr>
        <w:pStyle w:val="FirstParagraph"/>
      </w:pPr>
      <w:r>
        <w:t xml:space="preserve">In June, CME announced that Terry Duffy will become Executive Chairman on</w:t>
      </w:r>
      <w:r>
        <w:t xml:space="preserve"> </w:t>
      </w:r>
      <w:r>
        <w:rPr>
          <w:b/>
          <w:bCs/>
        </w:rPr>
        <w:t xml:space="preserve">March 1, 2027</w:t>
      </w:r>
      <w:r>
        <w:t xml:space="preserve">, with President and CFO Lynne Fitzpatrick succeeding him as CEO. This earnings call is likely to include heightened attention to capital allocation, strategic continuity, innovation priorities, and whether Fitzpatrick’s CFO successor process is advancing. (</w:t>
      </w:r>
      <w:hyperlink r:id="rId23">
        <w:r>
          <w:rPr>
            <w:rStyle w:val="Hyperlink"/>
          </w:rPr>
          <w:t xml:space="preserve">cmegroup.com</w:t>
        </w:r>
      </w:hyperlink>
      <w:r>
        <w:t xml:space="preserve">)</w:t>
      </w:r>
    </w:p>
    <w:p>
      <w:r>
        <w:pict>
          <v:rect style="width:0;height:1.5pt" o:hralign="center" o:hrstd="t" o:hr="t"/>
        </w:pict>
      </w:r>
    </w:p>
    <w:bookmarkEnd w:id="24"/>
    <w:bookmarkEnd w:id="25"/>
    <w:bookmarkStart w:id="27" w:name="risks-and-potential-negative-surprises"/>
    <w:p>
      <w:pPr>
        <w:pStyle w:val="Heading2"/>
      </w:pPr>
      <w:r>
        <w:t xml:space="preserve">Risks and potential negative surprises</w:t>
      </w:r>
    </w:p>
    <w:p>
      <w:pPr>
        <w:numPr>
          <w:ilvl w:val="0"/>
          <w:numId w:val="1002"/>
        </w:numPr>
      </w:pPr>
      <w:r>
        <w:rPr>
          <w:b/>
          <w:bCs/>
        </w:rPr>
        <w:t xml:space="preserve">RPC dilution:</w:t>
      </w:r>
      <w:r>
        <w:t xml:space="preserve"> </w:t>
      </w:r>
      <w:r>
        <w:t xml:space="preserve">Strong micro, member, and volume-tier participation could make clearing-fee growth underperform the headline volume narrative.</w:t>
      </w:r>
    </w:p>
    <w:p>
      <w:pPr>
        <w:numPr>
          <w:ilvl w:val="0"/>
          <w:numId w:val="1002"/>
        </w:numPr>
      </w:pPr>
      <w:r>
        <w:rPr>
          <w:b/>
          <w:bCs/>
        </w:rPr>
        <w:t xml:space="preserve">Energy normalization:</w:t>
      </w:r>
      <w:r>
        <w:t xml:space="preserve"> </w:t>
      </w:r>
      <w:r>
        <w:t xml:space="preserve">Energy ADV was 2.7 million in 2Q, below 2Q25 levels. A continued decline in energy volatility or participation would pressure a high-value product category. (</w:t>
      </w:r>
      <w:hyperlink r:id="rId9">
        <w:r>
          <w:rPr>
            <w:rStyle w:val="Hyperlink"/>
          </w:rPr>
          <w:t xml:space="preserve">cmegroup.com</w:t>
        </w:r>
      </w:hyperlink>
      <w:r>
        <w:t xml:space="preserve">)</w:t>
      </w:r>
    </w:p>
    <w:p>
      <w:pPr>
        <w:numPr>
          <w:ilvl w:val="0"/>
          <w:numId w:val="1002"/>
        </w:numPr>
      </w:pPr>
      <w:r>
        <w:rPr>
          <w:b/>
          <w:bCs/>
        </w:rPr>
        <w:t xml:space="preserve">Regulatory friction around 24/7 energy trading:</w:t>
      </w:r>
      <w:r>
        <w:t xml:space="preserve"> </w:t>
      </w:r>
      <w:r>
        <w:t xml:space="preserve">On July 9, the CFTC stayed CME’s self-certified proposal for 24/7 crude-oil futures trading while it reviews compliance with the Commodity Exchange Act and Commission regulations. This is not a material 2Q earnings issue, but it raises uncertainty around the timing and regulatory path of CME’s 24/7 commodities agenda. (</w:t>
      </w:r>
      <w:hyperlink r:id="rId26">
        <w:r>
          <w:rPr>
            <w:rStyle w:val="Hyperlink"/>
          </w:rPr>
          <w:t xml:space="preserve">ebs.publicnow.com</w:t>
        </w:r>
      </w:hyperlink>
      <w:r>
        <w:t xml:space="preserve">)</w:t>
      </w:r>
    </w:p>
    <w:p>
      <w:pPr>
        <w:numPr>
          <w:ilvl w:val="0"/>
          <w:numId w:val="1002"/>
        </w:numPr>
      </w:pPr>
      <w:r>
        <w:rPr>
          <w:b/>
          <w:bCs/>
        </w:rPr>
        <w:t xml:space="preserve">Technology and cloud spending:</w:t>
      </w:r>
      <w:r>
        <w:t xml:space="preserve"> </w:t>
      </w:r>
      <w:r>
        <w:t xml:space="preserve">The long-term cloud migration case is compelling, but near-term overlap costs, testing requirements, and operating expense could constrain margin expansion.</w:t>
      </w:r>
    </w:p>
    <w:p>
      <w:pPr>
        <w:numPr>
          <w:ilvl w:val="0"/>
          <w:numId w:val="1002"/>
        </w:numPr>
      </w:pPr>
      <w:r>
        <w:rPr>
          <w:b/>
          <w:bCs/>
        </w:rPr>
        <w:t xml:space="preserve">A less favorable volatility backdrop:</w:t>
      </w:r>
      <w:r>
        <w:t xml:space="preserve"> </w:t>
      </w:r>
      <w:r>
        <w:t xml:space="preserve">CME benefits from risk-management demand, but quarterly earnings remain sensitive to the level and distribution of volatility across rates, equity indices, commodities, and FX.</w:t>
      </w:r>
    </w:p>
    <w:p>
      <w:r>
        <w:pict>
          <v:rect style="width:0;height:1.5pt" o:hralign="center" o:hrstd="t" o:hr="t"/>
        </w:pict>
      </w:r>
    </w:p>
    <w:bookmarkEnd w:id="27"/>
    <w:bookmarkStart w:id="28" w:name="what-would-constitute-a-positive-report"/>
    <w:p>
      <w:pPr>
        <w:pStyle w:val="Heading2"/>
      </w:pPr>
      <w:r>
        <w:t xml:space="preserve">What would constitute a positive report?</w:t>
      </w:r>
    </w:p>
    <w:p>
      <w:pPr>
        <w:pStyle w:val="FirstParagraph"/>
      </w:pPr>
      <w:r>
        <w:t xml:space="preserve">A clearly positive setup would include:</w:t>
      </w:r>
    </w:p>
    <w:p>
      <w:pPr>
        <w:pStyle w:val="Compact"/>
        <w:numPr>
          <w:ilvl w:val="0"/>
          <w:numId w:val="1003"/>
        </w:numPr>
      </w:pPr>
      <w:r>
        <w:t xml:space="preserve">Revenue above the roughly</w:t>
      </w:r>
      <w:r>
        <w:t xml:space="preserve"> </w:t>
      </w:r>
      <w:r>
        <w:rPr>
          <w:b/>
          <w:bCs/>
        </w:rPr>
        <w:t xml:space="preserve">$1.72 billion</w:t>
      </w:r>
      <w:r>
        <w:t xml:space="preserve"> </w:t>
      </w:r>
      <w:r>
        <w:t xml:space="preserve">expectation;</w:t>
      </w:r>
    </w:p>
    <w:p>
      <w:pPr>
        <w:pStyle w:val="Compact"/>
        <w:numPr>
          <w:ilvl w:val="0"/>
          <w:numId w:val="1003"/>
        </w:numPr>
      </w:pPr>
      <w:r>
        <w:t xml:space="preserve">Adjusted EPS above the high end of the roughly</w:t>
      </w:r>
      <w:r>
        <w:t xml:space="preserve"> </w:t>
      </w:r>
      <m:oMath>
        <m:r>
          <m:t>2.92</m:t>
        </m:r>
        <m:r>
          <m:rPr>
            <m:sty m:val="p"/>
          </m:rPr>
          <m:t>–</m:t>
        </m:r>
      </m:oMath>
      <w:r>
        <w:rPr>
          <w:b/>
          <w:bCs/>
        </w:rPr>
        <w:t xml:space="preserve">2.99</w:t>
      </w:r>
      <w:r>
        <w:t xml:space="preserve"> </w:t>
      </w:r>
      <w:r>
        <w:t xml:space="preserve">published range;</w:t>
      </w:r>
    </w:p>
    <w:p>
      <w:pPr>
        <w:pStyle w:val="Compact"/>
        <w:numPr>
          <w:ilvl w:val="0"/>
          <w:numId w:val="1003"/>
        </w:numPr>
      </w:pPr>
      <w:r>
        <w:t xml:space="preserve">Better-than-feared total and product-level RPC;</w:t>
      </w:r>
    </w:p>
    <w:p>
      <w:pPr>
        <w:pStyle w:val="Compact"/>
        <w:numPr>
          <w:ilvl w:val="0"/>
          <w:numId w:val="1003"/>
        </w:numPr>
      </w:pPr>
      <w:r>
        <w:t xml:space="preserve">Continued double-digit market-data growth;</w:t>
      </w:r>
    </w:p>
    <w:p>
      <w:pPr>
        <w:pStyle w:val="Compact"/>
        <w:numPr>
          <w:ilvl w:val="0"/>
          <w:numId w:val="1003"/>
        </w:numPr>
      </w:pPr>
      <w:r>
        <w:t xml:space="preserve">Reaffirmed</w:t>
      </w:r>
      <w:r>
        <w:t xml:space="preserve"> </w:t>
      </w:r>
      <w:r>
        <w:rPr>
          <w:b/>
          <w:bCs/>
        </w:rPr>
        <w:t xml:space="preserve">$1.695 billion</w:t>
      </w:r>
      <w:r>
        <w:t xml:space="preserve"> </w:t>
      </w:r>
      <w:r>
        <w:t xml:space="preserve">adjusted operating-expense guide;</w:t>
      </w:r>
    </w:p>
    <w:p>
      <w:pPr>
        <w:pStyle w:val="Compact"/>
        <w:numPr>
          <w:ilvl w:val="0"/>
          <w:numId w:val="1003"/>
        </w:numPr>
      </w:pPr>
      <w:r>
        <w:t xml:space="preserve">Constructive commentary on July activity, particularly in rates, equity options, international markets, and energy; and</w:t>
      </w:r>
    </w:p>
    <w:p>
      <w:pPr>
        <w:pStyle w:val="Compact"/>
        <w:numPr>
          <w:ilvl w:val="0"/>
          <w:numId w:val="1003"/>
        </w:numPr>
      </w:pPr>
      <w:r>
        <w:t xml:space="preserve">Evidence that Treasury Link, cross-margining, BrokerTec Chicago, prediction markets, and cloud migration remain on schedule. (</w:t>
      </w:r>
      <w:hyperlink r:id="rId10">
        <w:r>
          <w:rPr>
            <w:rStyle w:val="Hyperlink"/>
          </w:rPr>
          <w:t xml:space="preserve">benzinga.com</w:t>
        </w:r>
      </w:hyperlink>
      <w:r>
        <w:t xml:space="preserve">)</w:t>
      </w:r>
    </w:p>
    <w:bookmarkEnd w:id="28"/>
    <w:bookmarkStart w:id="29" w:name="what-would-disappoint"/>
    <w:p>
      <w:pPr>
        <w:pStyle w:val="Heading2"/>
      </w:pPr>
      <w:r>
        <w:t xml:space="preserve">What would disappoint?</w:t>
      </w:r>
    </w:p>
    <w:p>
      <w:pPr>
        <w:pStyle w:val="FirstParagraph"/>
      </w:pPr>
      <w:r>
        <w:t xml:space="preserve">The market is likely to react poorly to a combination of:</w:t>
      </w:r>
    </w:p>
    <w:p>
      <w:pPr>
        <w:pStyle w:val="Compact"/>
        <w:numPr>
          <w:ilvl w:val="0"/>
          <w:numId w:val="1004"/>
        </w:numPr>
      </w:pPr>
      <w:r>
        <w:t xml:space="preserve">In-line earnings driven by lower-quality items rather than transaction-fee strength;</w:t>
      </w:r>
    </w:p>
    <w:p>
      <w:pPr>
        <w:pStyle w:val="Compact"/>
        <w:numPr>
          <w:ilvl w:val="0"/>
          <w:numId w:val="1004"/>
        </w:numPr>
      </w:pPr>
      <w:r>
        <w:t xml:space="preserve">RPC pressure worse than implied by current expectations;</w:t>
      </w:r>
    </w:p>
    <w:p>
      <w:pPr>
        <w:pStyle w:val="Compact"/>
        <w:numPr>
          <w:ilvl w:val="0"/>
          <w:numId w:val="1004"/>
        </w:numPr>
      </w:pPr>
      <w:r>
        <w:t xml:space="preserve">Expense-guide pressure from cloud, technology, or occupancy costs;</w:t>
      </w:r>
    </w:p>
    <w:p>
      <w:pPr>
        <w:pStyle w:val="Compact"/>
        <w:numPr>
          <w:ilvl w:val="0"/>
          <w:numId w:val="1004"/>
        </w:numPr>
      </w:pPr>
      <w:r>
        <w:t xml:space="preserve">Softer-than-expected commentary on July volumes or customer activity; or</w:t>
      </w:r>
    </w:p>
    <w:p>
      <w:pPr>
        <w:pStyle w:val="Compact"/>
        <w:numPr>
          <w:ilvl w:val="0"/>
          <w:numId w:val="1004"/>
        </w:numPr>
      </w:pPr>
      <w:r>
        <w:t xml:space="preserve">Reduced confidence in the timing of 24/7 energy products and other strategic initiatives.</w:t>
      </w:r>
    </w:p>
    <w:bookmarkEnd w:id="29"/>
    <w:bookmarkStart w:id="30" w:name="questions-for-management"/>
    <w:p>
      <w:pPr>
        <w:pStyle w:val="Heading2"/>
      </w:pPr>
      <w:r>
        <w:t xml:space="preserve">Questions for management</w:t>
      </w:r>
    </w:p>
    <w:p>
      <w:pPr>
        <w:pStyle w:val="Compact"/>
        <w:numPr>
          <w:ilvl w:val="0"/>
          <w:numId w:val="1005"/>
        </w:numPr>
      </w:pPr>
      <w:r>
        <w:t xml:space="preserve">How should investors frame 2Q RPC relative to 1Q’s $0.652 rate—particularly the effects of product mix, micros, volume tiers, and member trading?</w:t>
      </w:r>
    </w:p>
    <w:p>
      <w:pPr>
        <w:pStyle w:val="Compact"/>
        <w:numPr>
          <w:ilvl w:val="0"/>
          <w:numId w:val="1005"/>
        </w:numPr>
      </w:pPr>
      <w:r>
        <w:t xml:space="preserve">What were the largest drivers of the year-over-year change in clearing and transaction fees: volume, price, or mix?</w:t>
      </w:r>
    </w:p>
    <w:p>
      <w:pPr>
        <w:pStyle w:val="Compact"/>
        <w:numPr>
          <w:ilvl w:val="0"/>
          <w:numId w:val="1005"/>
        </w:numPr>
      </w:pPr>
      <w:r>
        <w:t xml:space="preserve">Does CME still expect to hold full-year adjusted operating expense excluding license fees near $1.695 billion?</w:t>
      </w:r>
    </w:p>
    <w:p>
      <w:pPr>
        <w:pStyle w:val="Compact"/>
        <w:numPr>
          <w:ilvl w:val="0"/>
          <w:numId w:val="1005"/>
        </w:numPr>
      </w:pPr>
      <w:r>
        <w:t xml:space="preserve">How much of market-data growth is subscriber growth versus pricing, policy, and licensing initiatives?</w:t>
      </w:r>
    </w:p>
    <w:p>
      <w:pPr>
        <w:pStyle w:val="Compact"/>
        <w:numPr>
          <w:ilvl w:val="0"/>
          <w:numId w:val="1005"/>
        </w:numPr>
      </w:pPr>
      <w:r>
        <w:t xml:space="preserve">What early customer adoption and capital-efficiency metrics can CME share for expanded Treasury cross-margining?</w:t>
      </w:r>
    </w:p>
    <w:p>
      <w:pPr>
        <w:pStyle w:val="Compact"/>
        <w:numPr>
          <w:ilvl w:val="0"/>
          <w:numId w:val="1005"/>
        </w:numPr>
      </w:pPr>
      <w:r>
        <w:t xml:space="preserve">Has the CFTC’s July 9 action changed CME’s expected timing, design, or economics for 24/7 crude-related products?</w:t>
      </w:r>
    </w:p>
    <w:p>
      <w:pPr>
        <w:pStyle w:val="Compact"/>
        <w:numPr>
          <w:ilvl w:val="0"/>
          <w:numId w:val="1005"/>
        </w:numPr>
      </w:pPr>
      <w:r>
        <w:t xml:space="preserve">What are the next milestones for Treasury Link, the agricultural cloud migration, tokenized cash, and the single-stock-futures launch?</w:t>
      </w:r>
    </w:p>
    <w:p>
      <w:pPr>
        <w:pStyle w:val="Compact"/>
        <w:numPr>
          <w:ilvl w:val="0"/>
          <w:numId w:val="1005"/>
        </w:numPr>
      </w:pPr>
      <w:r>
        <w:t xml:space="preserve">How should investors think about buybacks, dividends, and potential M&amp;A as the company approaches the March 2027 CEO transition?</w:t>
      </w:r>
    </w:p>
    <w:p>
      <w:pPr>
        <w:pStyle w:val="BlockText"/>
      </w:pPr>
      <w:r>
        <w:rPr>
          <w:b/>
          <w:bCs/>
        </w:rPr>
        <w:t xml:space="preserve">Investment framing:</w:t>
      </w:r>
      <w:r>
        <w:t xml:space="preserve"> </w:t>
      </w:r>
      <w:r>
        <w:t xml:space="preserve">CME remains a high-quality, structurally advantaged derivatives franchise with multiple long-term growth levers. For this report, however, the near-term debate is likely to center on whether strong but slightly lower year-over-year volume can translate into better-than-expected revenue and EPS despite mix-driven rate pressure.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6" Target="https://ebs.publicnow.com/view/96FFB93A315326733FBB53BDFB38DDDD7E00774F?utm_source=openai" TargetMode="External" /><Relationship Type="http://schemas.openxmlformats.org/officeDocument/2006/relationships/hyperlink" Id="rId15" Target="https://investor.cmegroup.com/static-files/267f35bc-9747-4ab3-bd7f-a47c4cc1e349" TargetMode="External" /><Relationship Type="http://schemas.openxmlformats.org/officeDocument/2006/relationships/hyperlink" Id="rId10" Target="https://www.benzinga.com/quote/CME/earnings?utm_source=openai" TargetMode="External" /><Relationship Type="http://schemas.openxmlformats.org/officeDocument/2006/relationships/hyperlink" Id="rId23" Target="https://www.cmegroup.com/media-room/press-releases.html?utm_source=openai" TargetMode="External" /><Relationship Type="http://schemas.openxmlformats.org/officeDocument/2006/relationships/hyperlink" Id="rId12" Target="https://www.cmegroup.com/media-room/press-releases/2026/4/22/cme_group_inc_reportsrecordrevenueadjustedoperatingincomeadjuste.html?utm_source=openai" TargetMode="External" /><Relationship Type="http://schemas.openxmlformats.org/officeDocument/2006/relationships/hyperlink" Id="rId21" Target="https://www.cmegroup.com/media-room/press-releases/2026/6/30/cme_group_to_launchsinglestockfuturesonjuly27.html" TargetMode="External" /><Relationship Type="http://schemas.openxmlformats.org/officeDocument/2006/relationships/hyperlink" Id="rId9" Target="https://www.cmegroup.com/media-room/press-releases/2026/7/02/cme_group_reportsrecordjuneaveragedailyvolumeandsecond-highestq2.html" TargetMode="External" /><Relationship Type="http://schemas.openxmlformats.org/officeDocument/2006/relationships/hyperlink" Id="rId19" Target="https://www.cmegroup.com/media-room/press-releases/2026/7/09/cme_group_to_launchtreasurylinkenhancingustreasuryspreadtradingb.html" TargetMode="External" /></Relationships>
</file>

<file path=word/_rels/footnotes.xml.rels><?xml version="1.0" encoding="UTF-8"?><Relationships xmlns="http://schemas.openxmlformats.org/package/2006/relationships"><Relationship Type="http://schemas.openxmlformats.org/officeDocument/2006/relationships/hyperlink" Id="rId26" Target="https://ebs.publicnow.com/view/96FFB93A315326733FBB53BDFB38DDDD7E00774F?utm_source=openai" TargetMode="External" /><Relationship Type="http://schemas.openxmlformats.org/officeDocument/2006/relationships/hyperlink" Id="rId15" Target="https://investor.cmegroup.com/static-files/267f35bc-9747-4ab3-bd7f-a47c4cc1e349" TargetMode="External" /><Relationship Type="http://schemas.openxmlformats.org/officeDocument/2006/relationships/hyperlink" Id="rId10" Target="https://www.benzinga.com/quote/CME/earnings?utm_source=openai" TargetMode="External" /><Relationship Type="http://schemas.openxmlformats.org/officeDocument/2006/relationships/hyperlink" Id="rId23" Target="https://www.cmegroup.com/media-room/press-releases.html?utm_source=openai" TargetMode="External" /><Relationship Type="http://schemas.openxmlformats.org/officeDocument/2006/relationships/hyperlink" Id="rId12" Target="https://www.cmegroup.com/media-room/press-releases/2026/4/22/cme_group_inc_reportsrecordrevenueadjustedoperatingincomeadjuste.html?utm_source=openai" TargetMode="External" /><Relationship Type="http://schemas.openxmlformats.org/officeDocument/2006/relationships/hyperlink" Id="rId21" Target="https://www.cmegroup.com/media-room/press-releases/2026/6/30/cme_group_to_launchsinglestockfuturesonjuly27.html" TargetMode="External" /><Relationship Type="http://schemas.openxmlformats.org/officeDocument/2006/relationships/hyperlink" Id="rId9" Target="https://www.cmegroup.com/media-room/press-releases/2026/7/02/cme_group_reportsrecordjuneaveragedailyvolumeandsecond-highestq2.html" TargetMode="External" /><Relationship Type="http://schemas.openxmlformats.org/officeDocument/2006/relationships/hyperlink" Id="rId19" Target="https://www.cmegroup.com/media-room/press-releases/2026/7/09/cme_group_to_launchtreasurylinkenhancingustreasuryspreadtradingb.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2026-07-22T00:07:01Z</dcterms:created>
  <dcterms:modified xsi:type="dcterms:W3CDTF">2026-07-22T00:07:01Z</dcterms:modified>
</cp:coreProperties>
</file>

<file path=docProps/custom.xml><?xml version="1.0" encoding="utf-8"?>
<Properties xmlns="http://schemas.openxmlformats.org/officeDocument/2006/custom-properties" xmlns:vt="http://schemas.openxmlformats.org/officeDocument/2006/docPropsVTypes"/>
</file>