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f-earnings-predictions--2026-07-21"/>
    <w:p>
      <w:pPr>
        <w:pStyle w:val="Heading1"/>
      </w:pPr>
      <w:r>
        <w:t xml:space="preserve">COF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~$5.25 vs. cons $5.08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Card net charge-off rate (lower=beat)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~4.9% vs. cons ~5.1%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~$15.75bn vs. cons $15.7bn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marketing ramp / adj. efficiency ratio (higher=worse)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efficiency ~52% vs. cons ~51% (FY26/H2)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Discover synergy target reaffirmation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~$2.5bn vs. cons $2.5bn (by mid-2027)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2.5bn/qtr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Structural NIM level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~7.95% vs. cons ~7.9% (Q2/Q3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Brex CET1 impact / marks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~-40bp vs. cons ~-40bp (Q2 2026 CET1)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(FADE)</w:t>
            </w:r>
          </w:p>
        </w:tc>
        <w:tc>
          <w:tcPr/>
          <w:p>
            <w:pPr>
              <w:pStyle w:val="Compact"/>
            </w:pPr>
            <w:r>
              <w:t xml:space="preserve">Credit resilience and an EPS beat should drive a modestly positive day-1 reaction, but the stock has already rallied ~16% off the June low and ~8% in July into the print, limiting upside and creating sell-the-news risk. Over the following week, out-period math works against follow-through: the guided H2 marketing ramp plus Brex/Hopper run-rate costs pull forward EPS estimates lower even on a headline beat, and the heavy, hard-to-size investment agenda clouds NTM earnings power — so the initial pop fades back toward flat.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2026-07-21T00:59:11Z</dcterms:created>
  <dcterms:modified xsi:type="dcterms:W3CDTF">2026-07-21T00:59:11Z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