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f5a5540a4b1afc97b21834421e6c1d1d86d19a7"/>
    <w:p>
      <w:pPr>
        <w:pStyle w:val="Heading1"/>
      </w:pPr>
      <w:r>
        <w:t xml:space="preserve">Capital One Financial (COF) — Q2 2026 Earnings Preview</w:t>
      </w:r>
    </w:p>
    <w:p>
      <w:pPr>
        <w:pStyle w:val="FirstParagraph"/>
      </w:pPr>
      <w:r>
        <w:rPr>
          <w:b/>
          <w:bCs/>
        </w:rPr>
        <w:t xml:space="preserve">Reports: Tuesday, July 21, 2026, after market close | Call: 5:00 PM ET</w:t>
      </w:r>
    </w:p>
    <w:p>
      <w:r>
        <w:pict>
          <v:rect style="width:0;height:1.5pt" o:hralign="center" o:hrstd="t" o:hr="t"/>
        </w:pict>
      </w:r>
    </w:p>
    <w:bookmarkStart w:id="9" w:name="the-setup"/>
    <w:p>
      <w:pPr>
        <w:pStyle w:val="Heading2"/>
      </w:pPr>
      <w:r>
        <w:t xml:space="preserve">The Setup</w:t>
      </w:r>
    </w:p>
    <w:p>
      <w:pPr>
        <w:pStyle w:val="FirstParagraph"/>
      </w:pPr>
      <w:r>
        <w:t xml:space="preserve">Capital One heads into its second full quarter with Discover under its belt — plus a newly closed Brex acquisition and an in-housed travel business — at a moment when large-bank peers have just posted a blowout Q2. JPMorgan, Bank of America, Citigroup, Wells Fargo, State Street and Truist all reported strong trading/investment-banking results and, more importantly for COF, described a resilient, still-spending U.S. consumer even as inflation runs hot and Middle East-driven energy costs climb. That backdrop — good consumer credit, but rising macro noise — is exactly the tension investors will be probing on tomorrow's call.</w:t>
      </w:r>
    </w:p>
    <w:p>
      <w:pPr>
        <w:pStyle w:val="BodyText"/>
      </w:pPr>
      <w:r>
        <w:t xml:space="preserve">The stock has been volatile in 2026: it started the year near $248, bottomed around $177 in mid-March amid capital-markets stress, and has since recovered to the</w:t>
      </w:r>
      <w:r>
        <w:t xml:space="preserve"> </w:t>
      </w:r>
      <m:oMath>
        <m:r>
          <m:t>205</m:t>
        </m:r>
        <m:r>
          <m:rPr>
            <m:sty m:val="p"/>
          </m:rPr>
          <m:t>−</m:t>
        </m:r>
      </m:oMath>
      <w:r>
        <w:t xml:space="preserve">212 range, up roughly 4% over the past month heading into the print.</w:t>
      </w:r>
    </w:p>
    <w:bookmarkEnd w:id="9"/>
    <w:bookmarkStart w:id="10" w:name="what-wall-street-expects"/>
    <w:p>
      <w:pPr>
        <w:pStyle w:val="Heading2"/>
      </w:pPr>
      <w:r>
        <w:t xml:space="preserve">What Wall Street Expects</w:t>
      </w:r>
    </w:p>
    <w:p>
      <w:pPr>
        <w:pStyle w:val="FirstParagraph"/>
      </w:pPr>
      <w:r>
        <w:t xml:space="preserve">Consensus has been drifting around as estimates get revised. The most recent read:</w:t>
      </w:r>
    </w:p>
    <w:p>
      <w:pPr>
        <w:pStyle w:val="Compact"/>
        <w:numPr>
          <w:ilvl w:val="0"/>
          <w:numId w:val="1001"/>
        </w:numPr>
      </w:pPr>
      <w:r>
        <w:rPr>
          <w:b/>
          <w:bCs/>
        </w:rPr>
        <w:t xml:space="preserve">Adjusted EPS:</w:t>
      </w:r>
      <w:r>
        <w:t xml:space="preserve"> </w:t>
      </w:r>
      <w:r>
        <w:t xml:space="preserve">~</w:t>
      </w:r>
      <m:oMath>
        <m:r>
          <m:t>4.87</m:t>
        </m:r>
        <m:r>
          <m:rPr>
            <m:sty m:val="p"/>
          </m:rPr>
          <m:t>–</m:t>
        </m:r>
      </m:oMath>
      <w:r>
        <w:t xml:space="preserve">4.89 (down roughly 10-11% year-over-year, against a difficult comp from Discover's first full quarter)</w:t>
      </w:r>
    </w:p>
    <w:p>
      <w:pPr>
        <w:pStyle w:val="Compact"/>
        <w:numPr>
          <w:ilvl w:val="0"/>
          <w:numId w:val="1001"/>
        </w:numPr>
      </w:pPr>
      <w:r>
        <w:rPr>
          <w:b/>
          <w:bCs/>
        </w:rPr>
        <w:t xml:space="preserve">Revenue:</w:t>
      </w:r>
      <w:r>
        <w:t xml:space="preserve"> </w:t>
      </w:r>
      <w:r>
        <w:t xml:space="preserve">~$15.7 billion (up ~25-26% YoY, decelerating from the prior quarter's 52% pace as Discover rolls into both periods' base)</w:t>
      </w:r>
    </w:p>
    <w:p>
      <w:pPr>
        <w:pStyle w:val="Compact"/>
        <w:numPr>
          <w:ilvl w:val="0"/>
          <w:numId w:val="1001"/>
        </w:numPr>
      </w:pPr>
      <w:r>
        <w:rPr>
          <w:b/>
          <w:bCs/>
        </w:rPr>
        <w:t xml:space="preserve">Domestic Card net charge-off rate:</w:t>
      </w:r>
      <w:r>
        <w:t xml:space="preserve"> </w:t>
      </w:r>
      <w:r>
        <w:t xml:space="preserve">~4.8% (vs. 5.3% a year ago)</w:t>
      </w:r>
    </w:p>
    <w:p>
      <w:pPr>
        <w:pStyle w:val="Compact"/>
        <w:numPr>
          <w:ilvl w:val="0"/>
          <w:numId w:val="1001"/>
        </w:numPr>
      </w:pPr>
      <w:r>
        <w:rPr>
          <w:b/>
          <w:bCs/>
        </w:rPr>
        <w:t xml:space="preserve">Efficiency ratio:</w:t>
      </w:r>
      <w:r>
        <w:t xml:space="preserve"> </w:t>
      </w:r>
      <w:r>
        <w:t xml:space="preserve">~54.8%</w:t>
      </w:r>
    </w:p>
    <w:p>
      <w:pPr>
        <w:pStyle w:val="Compact"/>
        <w:numPr>
          <w:ilvl w:val="0"/>
          <w:numId w:val="1001"/>
        </w:numPr>
      </w:pPr>
      <w:r>
        <w:t xml:space="preserve">Sell-side sentiment remains constructive — of 24 analysts, roughly 20 rate the stock Buy/Outperform versus 4 Holds and zero Sells, though estimate revisions have been mixed and COF missed Q1 consensus by about 4%.</w:t>
      </w:r>
    </w:p>
    <w:p>
      <w:pPr>
        <w:pStyle w:val="FirstParagraph"/>
      </w:pPr>
      <w:r>
        <w:t xml:space="preserve">The key framing from analysts: this is likely close to the trough of a two-quarter stretch of tough Discover-driven comps (Q2 and Q3 2026 both modeled down YoY) before earnings reaccelerate into Q4 2026 and beyond as integration synergies build.</w:t>
      </w:r>
    </w:p>
    <w:bookmarkEnd w:id="10"/>
    <w:bookmarkStart w:id="11" w:name="what-to-watch"/>
    <w:p>
      <w:pPr>
        <w:pStyle w:val="Heading2"/>
      </w:pPr>
      <w:r>
        <w:t xml:space="preserve">What to Watch</w:t>
      </w:r>
    </w:p>
    <w:p>
      <w:pPr>
        <w:pStyle w:val="FirstParagraph"/>
      </w:pPr>
      <w:r>
        <w:rPr>
          <w:b/>
          <w:bCs/>
        </w:rPr>
        <w:t xml:space="preserve">1. Discover integration milestones and the "brownout."</w:t>
      </w:r>
      <w:r>
        <w:t xml:space="preserve"> </w:t>
      </w:r>
      <w:r>
        <w:t xml:space="preserve">On the Q1 call, CEO Richard Fairbank detailed that Discover's card book has been contracting (down 1.2% YoY in Q1) as Capital One tightens legacy Discover credit policy on high-balance revolvers even while planning to expand at the margins. Management said new Discover-branded originations would fully transition onto Capital One's technology and underwriting by the end of Q3 2026, with the back-book conversion phased from late 2026 through Q1 2027. Watch for an update on origination-conversion progress (Fairbank noted testing was at low single digits as of April) and any signs the growth headwind is beginning to ease. Debit conversion to the Discover Network is complete, and management said Q2 should be the first quarter with the "full portion" of debit-related revenue synergies in the numbers. Expense synergies remain more back-loaded, tied to technology decommissioning, with full realization of the targeted ~$2.5 billion (some cite $2.5-2.7B) not expected until integration completes in the first half of 2027.</w:t>
      </w:r>
    </w:p>
    <w:p>
      <w:pPr>
        <w:pStyle w:val="BodyText"/>
      </w:pPr>
      <w:r>
        <w:rPr>
          <w:b/>
          <w:bCs/>
        </w:rPr>
        <w:t xml:space="preserve">2. Net interest margin trajectory.</w:t>
      </w:r>
      <w:r>
        <w:t xml:space="preserve"> </w:t>
      </w:r>
      <w:r>
        <w:t xml:space="preserve">NIM fell 39 bps sequentially to 7.87% in Q1, largely mechanical — two fewer days, seasonal card paydowns, and an unusually elevated cash position (~$76 billion) tied to the Discover Home Loans sale, strong deposit inflows and favorable tax-refund timing. CFO Andrew Young guided that cash should trend down and that Q2 should get a ~9 bps lift simply from an extra calendar day, with the "structural" NIM level from the back half of 2025 remaining a reasonable seasonally-adjusted anchor. Investors will want confirmation that NIM is stabilizing rather than eroding further.</w:t>
      </w:r>
    </w:p>
    <w:p>
      <w:pPr>
        <w:pStyle w:val="BodyText"/>
      </w:pPr>
      <w:r>
        <w:rPr>
          <w:b/>
          <w:bCs/>
        </w:rPr>
        <w:t xml:space="preserve">3. First full quarter with Brex and Hopper in the numbers.</w:t>
      </w:r>
      <w:r>
        <w:t xml:space="preserve"> </w:t>
      </w:r>
      <w:r>
        <w:t xml:space="preserve">Capital One closed the ~$4.5 billion Brex acquisition on April 7 (funded with $2.6B cash and $1.9B stock) and brought its Capital One Travel technology in-house from Hopper in April. Both add incremental expense before meaningful revenue contribution — management has been explicit that "earnings power" guidance (framed as ROTCE at a normalized ~12.5% CET1 capital level, consistent with original deal-model assumptions) already contemplates these deals, but investors have pushed for more clarity on the size and cadence of the associated investment spend. Expect renewed questions about efficiency-ratio trajectory now that two more acquisitions are layered into the run-rate.</w:t>
      </w:r>
    </w:p>
    <w:p>
      <w:pPr>
        <w:pStyle w:val="BodyText"/>
      </w:pPr>
      <w:r>
        <w:rPr>
          <w:b/>
          <w:bCs/>
        </w:rPr>
        <w:t xml:space="preserve">4. Credit quality — still a bright spot, but macro clouds are darkening.</w:t>
      </w:r>
      <w:r>
        <w:t xml:space="preserve"> </w:t>
      </w:r>
      <w:r>
        <w:t xml:space="preserve">Q1 domestic card delinquencies (3.7%) ran better than normal seasonality, and charge-offs continue improving both organically and via Discover's mix. Auto credit remains near pre-pandemic levels. However, management flagged the Persian Gulf conflict as a "significant cloud on the horizon" back in April, warning that sustained higher energy prices could pressure consumers and the broader economy even though no deterioration had shown up yet in COF's own metrics. Since then, the conflict has escalated further — Brent crude has been running near</w:t>
      </w:r>
      <w:r>
        <w:t xml:space="preserve"> </w:t>
      </w:r>
      <m:oMath>
        <m:r>
          <m:t>97</m:t>
        </m:r>
        <m:r>
          <m:rPr>
            <m:sty m:val="p"/>
          </m:rPr>
          <m:t>/</m:t>
        </m:r>
        <m:r>
          <m:t>b</m:t>
        </m:r>
        <m:r>
          <m:t>a</m:t>
        </m:r>
        <m:r>
          <m:t>r</m:t>
        </m:r>
        <m:r>
          <m:t>r</m:t>
        </m:r>
        <m:r>
          <m:t>e</m:t>
        </m:r>
        <m:r>
          <m:t>l</m:t>
        </m:r>
        <m:r>
          <m:rPr>
            <m:sty m:val="p"/>
          </m:rPr>
          <m:t>(</m:t>
        </m:r>
        <m:r>
          <m:t>v</m:t>
        </m:r>
        <m:r>
          <m:t>s</m:t>
        </m:r>
        <m:r>
          <m:rPr>
            <m:sty m:val="p"/>
          </m:rPr>
          <m:t>.</m:t>
        </m:r>
        <m:r>
          <m:t> </m:t>
        </m:r>
      </m:oMath>
      <w:r>
        <w:t xml:space="preserve">67 a year ago) per European energy majors' commentary, Iran-U.S. hostilities have widened, and shipping through the Strait of Hormuz has slowed sharply. Inflation has stayed stubbornly above the Fed's target, and new Fed Chair Kevin Warsh has signaled the inflation fight is "far from over," with some officials even discussing further rate hikes rather than cuts. This is the macro wildcard: peer banks (BofA's Moynihan, in particular) still describe consumer spending as resilient (+6% YoY in Q2) despite affordability strain, but a prolonged energy shock is the type of scenario COF has already begun reserving against qualitatively.</w:t>
      </w:r>
    </w:p>
    <w:p>
      <w:pPr>
        <w:pStyle w:val="BodyText"/>
      </w:pPr>
      <w:r>
        <w:rPr>
          <w:b/>
          <w:bCs/>
        </w:rPr>
        <w:t xml:space="preserve">5. Capital return and Basel III clarity.</w:t>
      </w:r>
      <w:r>
        <w:t xml:space="preserve"> </w:t>
      </w:r>
      <w:r>
        <w:t xml:space="preserve">CET1 stood at 14.4% at Q1-end (up 10 bps despite $2.5 billion of buybacks), and management reiterated it will "err on the side of conservatism" given the "asymmetrical value of capital" in stress scenarios — even as analysts (Erika Najarian, Saul Martinez) pushed for a larger buyback given how much excess capital COF is carrying. New Basel III Finalization Proposals released in March 2026 look like a modest net positive for COF (roughly +20 bps to CET1 fully phased in, per CFO Andrew Young), which could eventually support a larger repurchase cadence. Watch for the Q2 buyback pace (Q1 was</w:t>
      </w:r>
      <w:r>
        <w:t xml:space="preserve"> </w:t>
      </w:r>
      <m:oMath>
        <m:r>
          <m:t>2.5</m:t>
        </m:r>
        <m:r>
          <m:t>B</m:t>
        </m:r>
        <m:r>
          <m:rPr>
            <m:sty m:val="p"/>
          </m:rPr>
          <m:t>,</m:t>
        </m:r>
        <m:r>
          <m:t>w</m:t>
        </m:r>
        <m:r>
          <m:t>i</m:t>
        </m:r>
        <m:r>
          <m:t>t</m:t>
        </m:r>
        <m:r>
          <m:t>h</m:t>
        </m:r>
        <m:r>
          <m:t> </m:t>
        </m:r>
      </m:oMath>
      <w:r>
        <w:t xml:space="preserve">12 billion of board authorization remaining as of April) as a signal of management's confidence.</w:t>
      </w:r>
    </w:p>
    <w:p>
      <w:pPr>
        <w:pStyle w:val="BodyText"/>
      </w:pPr>
      <w:r>
        <w:rPr>
          <w:b/>
          <w:bCs/>
        </w:rPr>
        <w:t xml:space="preserve">6. Legal/regulatory tailwind.</w:t>
      </w:r>
      <w:r>
        <w:t xml:space="preserve"> </w:t>
      </w:r>
      <w:r>
        <w:t xml:space="preserve">Just a day ahead of earnings, Capital One won a favorable ruling in Maryland federal court, with a judge dismissing a proposed class action alleging the company charged excessive credit-card interest rates above Virginia's usury cap — a modest de-risking data point heading into the print.</w:t>
      </w:r>
    </w:p>
    <w:bookmarkEnd w:id="11"/>
    <w:bookmarkStart w:id="12" w:name="peer-read-through"/>
    <w:p>
      <w:pPr>
        <w:pStyle w:val="Heading2"/>
      </w:pPr>
      <w:r>
        <w:t xml:space="preserve">Peer Read-Through</w:t>
      </w:r>
    </w:p>
    <w:p>
      <w:pPr>
        <w:pStyle w:val="FirstParagraph"/>
      </w:pPr>
      <w:r>
        <w:t xml:space="preserve">The Q2 bank earnings season so far has been unambiguously strong on the trading/investment-banking side (JPMorgan's record $21.2B quarterly profit, Citigroup's decade-high revenue, Bank of America's record equity trading), but the more relevant consumer-lending signal is that credit costs across the sector have been benign — Wells Fargo and Bank of America both reported improving net charge-offs. American Express, which reports Friday (7/24), is expected to show continued resilience in higher-end consumer spending, which should offer a read-through for COF's "heavy spender" card franchise. State Street and Truist both beat estimates and raised guidance, reinforcing a generally constructive tone for financials this quarter — though COF's story is idiosyncratic given the scale of the Discover integration and its higher exposure to subprime/near-prime consumers relative to peers like JPM or Amex.</w:t>
      </w:r>
    </w:p>
    <w:bookmarkEnd w:id="12"/>
    <w:bookmarkStart w:id="13" w:name="bottom-line"/>
    <w:p>
      <w:pPr>
        <w:pStyle w:val="Heading2"/>
      </w:pPr>
      <w:r>
        <w:t xml:space="preserve">Bottom Line</w:t>
      </w:r>
    </w:p>
    <w:p>
      <w:pPr>
        <w:pStyle w:val="FirstParagraph"/>
      </w:pPr>
      <w:r>
        <w:t xml:space="preserve">This print is less about the headline EPS beat/miss (a YoY decline is already baked into a tough comp) and more about</w:t>
      </w:r>
      <w:r>
        <w:t xml:space="preserve"> </w:t>
      </w:r>
      <w:r>
        <w:rPr>
          <w:b/>
          <w:bCs/>
        </w:rPr>
        <w:t xml:space="preserve">three trend lines</w:t>
      </w:r>
      <w:r>
        <w:t xml:space="preserve">: (1) whether NIM has found its structural floor as cash normalizes, (2) whether Discover origination-conversion is tracking to the end-of-Q3 target without further loan-growth deterioration, and (3) whether management's "earnings power intact" message on ROTCE — now inclusive of Brex and Hopper — is corroborated by visible progress on integration expense synergies. Credit quality has been the consistent positive surprise for several quarters running; the open question after tomorrow's call is how much of a buffer that gives Capital One against a genuinely uncertain macro backdrop of elevated energy prices, sticky inflation, and a Fed that sounds more hawkish than dovish.</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2026-07-21T01:07:33Z</dcterms:created>
  <dcterms:modified xsi:type="dcterms:W3CDTF">2026-07-21T01:07:33Z</dcterms:modified>
</cp:coreProperties>
</file>

<file path=docProps/custom.xml><?xml version="1.0" encoding="utf-8"?>
<Properties xmlns="http://schemas.openxmlformats.org/officeDocument/2006/custom-properties" xmlns:vt="http://schemas.openxmlformats.org/officeDocument/2006/docPropsVTypes"/>
</file>