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f-earnings-predictions--2026-07-21"/>
    <w:p>
      <w:pPr>
        <w:pStyle w:val="Heading1"/>
      </w:pPr>
      <w:r>
        <w:t xml:space="preserve">COF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~$4.98 vs. cons $4.89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~$15.87B vs. cons $15.69B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Provision for credit losses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~$3.80B vs. cons $4.05B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Discover total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$2.50B (mid-2027)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~8.20% vs. cons 8.15%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Implicit 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~$9.45 vs. cons $9.77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Benign credit, NIM recovery and debit-network synergies support the initial beat, but heavier Brex, travel, marketing and integration investment implies ~</w:t>
            </w:r>
            <m:oMath>
              <m:r>
                <m:t>9.45</m:t>
              </m:r>
              <m:r>
                <m:t>o</m:t>
              </m:r>
              <m:r>
                <m:t>f</m:t>
              </m:r>
              <m:r>
                <m:t>2</m:t>
              </m:r>
              <m:r>
                <m:t>H</m:t>
              </m:r>
              <m:r>
                <m:t>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9.77 consensus, pulling out-period estimates lower and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2026-07-21T00:56:15Z</dcterms:created>
  <dcterms:modified xsi:type="dcterms:W3CDTF">2026-07-21T00:56:15Z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