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03a5b896042419279f856d98d80c84c8f278a1"/>
    <w:p>
      <w:pPr>
        <w:pStyle w:val="Heading1"/>
      </w:pPr>
      <w:r>
        <w:t xml:space="preserve">Capital One Financial (COF) — 2Q26 Earnings Preview</w:t>
      </w:r>
    </w:p>
    <w:p>
      <w:pPr>
        <w:pStyle w:val="BlockText"/>
      </w:pPr>
      <w:r>
        <w:rPr>
          <w:b/>
          <w:bCs/>
        </w:rPr>
        <w:t xml:space="preserve">Timing clarification:</w:t>
      </w:r>
      <w:r>
        <w:t xml:space="preserve"> </w:t>
      </w:r>
      <w:r>
        <w:t xml:space="preserve">Capital One is scheduled to release second-quarter results</w:t>
      </w:r>
      <w:r>
        <w:t xml:space="preserve"> </w:t>
      </w:r>
      <w:r>
        <w:rPr>
          <w:b/>
          <w:bCs/>
        </w:rPr>
        <w:t xml:space="preserve">today, July 21, 2026, at approximately 4:05 p.m. ET</w:t>
      </w:r>
      <w:r>
        <w:t xml:space="preserve">, followed by its earnings call at</w:t>
      </w:r>
      <w:r>
        <w:t xml:space="preserve"> </w:t>
      </w:r>
      <w:r>
        <w:rPr>
          <w:b/>
          <w:bCs/>
        </w:rPr>
        <w:t xml:space="preserve">5:00 p.m. ET</w:t>
      </w:r>
      <w:r>
        <w:t xml:space="preserve">. The event date provided—July 21—is today rather than tomorrow.</w:t>
      </w:r>
    </w:p>
    <w:bookmarkStart w:id="9" w:name="investment-view-going-into-the-print"/>
    <w:p>
      <w:pPr>
        <w:pStyle w:val="Heading2"/>
      </w:pPr>
      <w:r>
        <w:t xml:space="preserve">Investment view going into the print</w:t>
      </w:r>
    </w:p>
    <w:p>
      <w:pPr>
        <w:pStyle w:val="FirstParagraph"/>
      </w:pPr>
      <w:r>
        <w:t xml:space="preserve">This quarter is less about headline EPS—which will remain distorted by Discover integration costs, purchase accounting, and the addition of Brex—and more about whether Capital One can demonstrate that its enlarged franchise is beginning to generate the promised operating leverage.</w:t>
      </w:r>
    </w:p>
    <w:p>
      <w:pPr>
        <w:pStyle w:val="BodyText"/>
      </w:pPr>
      <w:r>
        <w:t xml:space="preserve">The most important questions are:</w:t>
      </w:r>
    </w:p>
    <w:p>
      <w:pPr>
        <w:pStyle w:val="Compact"/>
        <w:numPr>
          <w:ilvl w:val="0"/>
          <w:numId w:val="1001"/>
        </w:numPr>
      </w:pPr>
      <w:r>
        <w:rPr>
          <w:b/>
          <w:bCs/>
        </w:rPr>
        <w:t xml:space="preserve">Does credit remain benign despite macro uncertainty?</w:t>
      </w:r>
    </w:p>
    <w:p>
      <w:pPr>
        <w:pStyle w:val="Compact"/>
        <w:numPr>
          <w:ilvl w:val="0"/>
          <w:numId w:val="1001"/>
        </w:numPr>
      </w:pPr>
      <w:r>
        <w:rPr>
          <w:b/>
          <w:bCs/>
        </w:rPr>
        <w:t xml:space="preserve">Does net interest margin recover from its seasonally weak first quarter?</w:t>
      </w:r>
    </w:p>
    <w:p>
      <w:pPr>
        <w:pStyle w:val="Compact"/>
        <w:numPr>
          <w:ilvl w:val="0"/>
          <w:numId w:val="1001"/>
        </w:numPr>
      </w:pPr>
      <w:r>
        <w:rPr>
          <w:b/>
          <w:bCs/>
        </w:rPr>
        <w:t xml:space="preserve">How much do Brex, Capital One Travel, marketing, and Discover integration investments raise the expense base?</w:t>
      </w:r>
    </w:p>
    <w:p>
      <w:pPr>
        <w:pStyle w:val="Compact"/>
        <w:numPr>
          <w:ilvl w:val="0"/>
          <w:numId w:val="1001"/>
        </w:numPr>
      </w:pPr>
      <w:r>
        <w:rPr>
          <w:b/>
          <w:bCs/>
        </w:rPr>
        <w:t xml:space="preserve">Is management still confident in $2.5 billion of Discover synergies and its post-integration earnings-power framework?</w:t>
      </w:r>
    </w:p>
    <w:p>
      <w:pPr>
        <w:pStyle w:val="Compact"/>
        <w:numPr>
          <w:ilvl w:val="0"/>
          <w:numId w:val="1001"/>
        </w:numPr>
      </w:pPr>
      <w:r>
        <w:rPr>
          <w:b/>
          <w:bCs/>
        </w:rPr>
        <w:t xml:space="preserve">How much excess capital remains after Brex and another quarter of buybacks?</w:t>
      </w:r>
    </w:p>
    <w:p>
      <w:pPr>
        <w:pStyle w:val="FirstParagraph"/>
      </w:pPr>
      <w:r>
        <w:t xml:space="preserve">The setup is mixed. Credit indicators through May were encouraging, loan balances grew from March, and Q2 should benefit from seasonal balance growth and debit-network revenue synergies. Against that, expenses should step higher, the acquired Discover portfolio is still in a temporary growth “brownout,” and management’s limited quantitative guidance has made it difficult for investors to underwrite normalized returns.</w:t>
      </w:r>
    </w:p>
    <w:p>
      <w:r>
        <w:pict>
          <v:rect style="width:0;height:1.5pt" o:hralign="center" o:hrstd="t" o:hr="t"/>
        </w:pict>
      </w:r>
    </w:p>
    <w:bookmarkEnd w:id="9"/>
    <w:bookmarkStart w:id="10" w:name="starting-point-1q26"/>
    <w:p>
      <w:pPr>
        <w:pStyle w:val="Heading2"/>
      </w:pPr>
      <w:r>
        <w:t xml:space="preserve">Starting point: 1Q26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w:t>
            </w:r>
          </w:p>
        </w:tc>
      </w:tr>
      <w:tr>
        <w:tc>
          <w:tcPr/>
          <w:p>
            <w:pPr>
              <w:pStyle w:val="Compact"/>
            </w:pPr>
            <w:r>
              <w:t xml:space="preserve">Reported diluted EPS</w:t>
            </w:r>
          </w:p>
        </w:tc>
        <w:tc>
          <w:tcPr/>
          <w:p>
            <w:pPr>
              <w:pStyle w:val="Compact"/>
              <w:jc w:val="right"/>
            </w:pPr>
            <w:r>
              <w:rPr>
                <w:b/>
                <w:bCs/>
              </w:rPr>
              <w:t xml:space="preserve">$3.34</w:t>
            </w:r>
          </w:p>
        </w:tc>
      </w:tr>
      <w:tr>
        <w:tc>
          <w:tcPr/>
          <w:p>
            <w:pPr>
              <w:pStyle w:val="Compact"/>
            </w:pPr>
            <w:r>
              <w:t xml:space="preserve">Adjusted diluted EPS</w:t>
            </w:r>
          </w:p>
        </w:tc>
        <w:tc>
          <w:tcPr/>
          <w:p>
            <w:pPr>
              <w:pStyle w:val="Compact"/>
              <w:jc w:val="right"/>
            </w:pPr>
            <w:r>
              <w:rPr>
                <w:b/>
                <w:bCs/>
              </w:rPr>
              <w:t xml:space="preserve">$4.42</w:t>
            </w:r>
          </w:p>
        </w:tc>
      </w:tr>
      <w:tr>
        <w:tc>
          <w:tcPr/>
          <w:p>
            <w:pPr>
              <w:pStyle w:val="Compact"/>
            </w:pPr>
            <w:r>
              <w:t xml:space="preserve">Net revenue</w:t>
            </w:r>
          </w:p>
        </w:tc>
        <w:tc>
          <w:tcPr/>
          <w:p>
            <w:pPr>
              <w:pStyle w:val="Compact"/>
              <w:jc w:val="right"/>
            </w:pPr>
            <w:r>
              <w:rPr>
                <w:b/>
                <w:bCs/>
              </w:rPr>
              <w:t xml:space="preserve">$15.2 billion</w:t>
            </w:r>
          </w:p>
        </w:tc>
      </w:tr>
      <w:tr>
        <w:tc>
          <w:tcPr/>
          <w:p>
            <w:pPr>
              <w:pStyle w:val="Compact"/>
            </w:pPr>
            <w:r>
              <w:t xml:space="preserve">Pre-provision earnings</w:t>
            </w:r>
          </w:p>
        </w:tc>
        <w:tc>
          <w:tcPr/>
          <w:p>
            <w:pPr>
              <w:pStyle w:val="Compact"/>
              <w:jc w:val="right"/>
            </w:pPr>
            <w:r>
              <w:rPr>
                <w:b/>
                <w:bCs/>
              </w:rPr>
              <w:t xml:space="preserve">$6.8 billion</w:t>
            </w:r>
          </w:p>
        </w:tc>
      </w:tr>
      <w:tr>
        <w:tc>
          <w:tcPr/>
          <w:p>
            <w:pPr>
              <w:pStyle w:val="Compact"/>
            </w:pPr>
            <w:r>
              <w:t xml:space="preserve">Provision for credit losses</w:t>
            </w:r>
          </w:p>
        </w:tc>
        <w:tc>
          <w:tcPr/>
          <w:p>
            <w:pPr>
              <w:pStyle w:val="Compact"/>
              <w:jc w:val="right"/>
            </w:pPr>
            <w:r>
              <w:rPr>
                <w:b/>
                <w:bCs/>
              </w:rPr>
              <w:t xml:space="preserve">$4.1 billion</w:t>
            </w:r>
          </w:p>
        </w:tc>
      </w:tr>
      <w:tr>
        <w:tc>
          <w:tcPr/>
          <w:p>
            <w:pPr>
              <w:pStyle w:val="Compact"/>
            </w:pPr>
            <w:r>
              <w:t xml:space="preserve">Net charge-offs</w:t>
            </w:r>
          </w:p>
        </w:tc>
        <w:tc>
          <w:tcPr/>
          <w:p>
            <w:pPr>
              <w:pStyle w:val="Compact"/>
              <w:jc w:val="right"/>
            </w:pPr>
            <w:r>
              <w:rPr>
                <w:b/>
                <w:bCs/>
              </w:rPr>
              <w:t xml:space="preserve">$3.8 billion</w:t>
            </w:r>
          </w:p>
        </w:tc>
      </w:tr>
      <w:tr>
        <w:tc>
          <w:tcPr/>
          <w:p>
            <w:pPr>
              <w:pStyle w:val="Compact"/>
            </w:pPr>
            <w:r>
              <w:t xml:space="preserve">Allowance build</w:t>
            </w:r>
          </w:p>
        </w:tc>
        <w:tc>
          <w:tcPr/>
          <w:p>
            <w:pPr>
              <w:pStyle w:val="Compact"/>
              <w:jc w:val="right"/>
            </w:pPr>
            <w:r>
              <w:rPr>
                <w:b/>
                <w:bCs/>
              </w:rPr>
              <w:t xml:space="preserve">$230 million</w:t>
            </w:r>
          </w:p>
        </w:tc>
      </w:tr>
      <w:tr>
        <w:tc>
          <w:tcPr/>
          <w:p>
            <w:pPr>
              <w:pStyle w:val="Compact"/>
            </w:pPr>
            <w:r>
              <w:t xml:space="preserve">Net interest margin</w:t>
            </w:r>
          </w:p>
        </w:tc>
        <w:tc>
          <w:tcPr/>
          <w:p>
            <w:pPr>
              <w:pStyle w:val="Compact"/>
              <w:jc w:val="right"/>
            </w:pPr>
            <w:r>
              <w:rPr>
                <w:b/>
                <w:bCs/>
              </w:rPr>
              <w:t xml:space="preserve">7.87%</w:t>
            </w:r>
          </w:p>
        </w:tc>
      </w:tr>
      <w:tr>
        <w:tc>
          <w:tcPr/>
          <w:p>
            <w:pPr>
              <w:pStyle w:val="Compact"/>
            </w:pPr>
            <w:r>
              <w:t xml:space="preserve">Adjusted efficiency ratio</w:t>
            </w:r>
          </w:p>
        </w:tc>
        <w:tc>
          <w:tcPr/>
          <w:p>
            <w:pPr>
              <w:pStyle w:val="Compact"/>
              <w:jc w:val="right"/>
            </w:pPr>
            <w:r>
              <w:rPr>
                <w:b/>
                <w:bCs/>
              </w:rPr>
              <w:t xml:space="preserve">49.71%</w:t>
            </w:r>
          </w:p>
        </w:tc>
      </w:tr>
      <w:tr>
        <w:tc>
          <w:tcPr/>
          <w:p>
            <w:pPr>
              <w:pStyle w:val="Compact"/>
            </w:pPr>
            <w:r>
              <w:t xml:space="preserve">CET1 ratio</w:t>
            </w:r>
          </w:p>
        </w:tc>
        <w:tc>
          <w:tcPr/>
          <w:p>
            <w:pPr>
              <w:pStyle w:val="Compact"/>
              <w:jc w:val="right"/>
            </w:pPr>
            <w:r>
              <w:rPr>
                <w:b/>
                <w:bCs/>
              </w:rPr>
              <w:t xml:space="preserve">14.4%</w:t>
            </w:r>
          </w:p>
        </w:tc>
      </w:tr>
      <w:tr>
        <w:tc>
          <w:tcPr/>
          <w:p>
            <w:pPr>
              <w:pStyle w:val="Compact"/>
            </w:pPr>
            <w:r>
              <w:t xml:space="preserve">Period-end loans</w:t>
            </w:r>
          </w:p>
        </w:tc>
        <w:tc>
          <w:tcPr/>
          <w:p>
            <w:pPr>
              <w:pStyle w:val="Compact"/>
              <w:jc w:val="right"/>
            </w:pPr>
            <w:r>
              <w:rPr>
                <w:b/>
                <w:bCs/>
              </w:rPr>
              <w:t xml:space="preserve">$447.8 billion</w:t>
            </w:r>
          </w:p>
        </w:tc>
      </w:tr>
      <w:tr>
        <w:tc>
          <w:tcPr/>
          <w:p>
            <w:pPr>
              <w:pStyle w:val="Compact"/>
            </w:pPr>
            <w:r>
              <w:t xml:space="preserve">Period-end deposits</w:t>
            </w:r>
          </w:p>
        </w:tc>
        <w:tc>
          <w:tcPr/>
          <w:p>
            <w:pPr>
              <w:pStyle w:val="Compact"/>
              <w:jc w:val="right"/>
            </w:pPr>
            <w:r>
              <w:rPr>
                <w:b/>
                <w:bCs/>
              </w:rPr>
              <w:t xml:space="preserve">$489.1 billion</w:t>
            </w:r>
          </w:p>
        </w:tc>
      </w:tr>
    </w:tbl>
    <w:p>
      <w:pPr>
        <w:pStyle w:val="BodyText"/>
      </w:pPr>
      <w:r>
        <w:t xml:space="preserve">First-quarter reported earnings included</w:t>
      </w:r>
      <w:r>
        <w:t xml:space="preserve"> </w:t>
      </w:r>
      <m:oMath>
        <m:r>
          <m:t>477</m:t>
        </m:r>
        <m:r>
          <m:t>m</m:t>
        </m:r>
        <m:r>
          <m:t>i</m:t>
        </m:r>
        <m:r>
          <m:t>l</m:t>
        </m:r>
        <m:r>
          <m:t>l</m:t>
        </m:r>
        <m:r>
          <m:t>i</m:t>
        </m:r>
        <m:r>
          <m:t>o</m:t>
        </m:r>
        <m:r>
          <m:t>n</m:t>
        </m:r>
        <m:r>
          <m:t>o</m:t>
        </m:r>
        <m:r>
          <m:t>f</m:t>
        </m:r>
        <m:r>
          <m:t>D</m:t>
        </m:r>
        <m:r>
          <m:t>i</m:t>
        </m:r>
        <m:r>
          <m:t>s</m:t>
        </m:r>
        <m:r>
          <m:t>c</m:t>
        </m:r>
        <m:r>
          <m:t>o</m:t>
        </m:r>
        <m:r>
          <m:t>v</m:t>
        </m:r>
        <m:r>
          <m:t>e</m:t>
        </m:r>
        <m:r>
          <m:t>r</m:t>
        </m:r>
        <m:r>
          <m:t>a</m:t>
        </m:r>
        <m:r>
          <m:t>m</m:t>
        </m:r>
        <m:r>
          <m:t>o</m:t>
        </m:r>
        <m:r>
          <m:t>r</m:t>
        </m:r>
        <m:r>
          <m:t>t</m:t>
        </m:r>
        <m:r>
          <m:t>i</m:t>
        </m:r>
        <m:r>
          <m:t>z</m:t>
        </m:r>
        <m:r>
          <m:t>a</m:t>
        </m:r>
        <m:r>
          <m:t>t</m:t>
        </m:r>
        <m:r>
          <m:t>i</m:t>
        </m:r>
        <m:r>
          <m:t>o</m:t>
        </m:r>
        <m:r>
          <m:t>n</m:t>
        </m:r>
        <m:r>
          <m:t>e</m:t>
        </m:r>
        <m:r>
          <m:t>x</m:t>
        </m:r>
        <m:r>
          <m:t>p</m:t>
        </m:r>
        <m:r>
          <m:t>e</m:t>
        </m:r>
        <m:r>
          <m:t>n</m:t>
        </m:r>
        <m:r>
          <m:t>s</m:t>
        </m:r>
        <m:r>
          <m:t>e</m:t>
        </m:r>
        <m:r>
          <m:rPr>
            <m:sty m:val="p"/>
          </m:rPr>
          <m:t>*</m:t>
        </m:r>
        <m:r>
          <m:rPr>
            <m:sty m:val="p"/>
          </m:rPr>
          <m:t>*</m:t>
        </m:r>
        <m:r>
          <m:t>a</m:t>
        </m:r>
        <m:r>
          <m:t>n</m:t>
        </m:r>
        <m:r>
          <m:t>d</m:t>
        </m:r>
        <m:r>
          <m:rPr>
            <m:sty m:val="p"/>
          </m:rPr>
          <m:t>*</m:t>
        </m:r>
        <m:r>
          <m:rPr>
            <m:sty m:val="p"/>
          </m:rPr>
          <m:t>*</m:t>
        </m:r>
      </m:oMath>
      <w:r>
        <w:rPr>
          <w:b/>
          <w:bCs/>
        </w:rPr>
        <w:t xml:space="preserve">415 million of Discover integration expense</w:t>
      </w:r>
      <w:r>
        <w:t xml:space="preserve">, reducing diluted EPS by a combined $1.08. Similar noise is likely in Q2, now with Brex purchase accounting added to the mix.</w:t>
      </w:r>
    </w:p>
    <w:p>
      <w:pPr>
        <w:pStyle w:val="BodyText"/>
      </w:pPr>
      <w:r>
        <w:t xml:space="preserve">Investors should therefore prioritize</w:t>
      </w:r>
      <w:r>
        <w:t xml:space="preserve"> </w:t>
      </w:r>
      <w:r>
        <w:rPr>
          <w:b/>
          <w:bCs/>
        </w:rPr>
        <w:t xml:space="preserve">adjusted pre-provision earnings, adjusted efficiency, underlying credit costs, and capital generation</w:t>
      </w:r>
      <w:r>
        <w:t xml:space="preserve"> </w:t>
      </w:r>
      <w:r>
        <w:t xml:space="preserve">over reported EPS alone.</w:t>
      </w:r>
    </w:p>
    <w:p>
      <w:r>
        <w:pict>
          <v:rect style="width:0;height:1.5pt" o:hralign="center" o:hrstd="t" o:hr="t"/>
        </w:pict>
      </w:r>
    </w:p>
    <w:bookmarkEnd w:id="10"/>
    <w:bookmarkStart w:id="13" w:name="Xf961b6d3afc5e61b8ffeec3e304d03166ca74e6"/>
    <w:p>
      <w:pPr>
        <w:pStyle w:val="Heading2"/>
      </w:pPr>
      <w:r>
        <w:t xml:space="preserve">1. Credit is the first hurdle—and the available data are reassuring</w:t>
      </w:r>
    </w:p>
    <w:p>
      <w:pPr>
        <w:pStyle w:val="FirstParagraph"/>
      </w:pPr>
      <w:r>
        <w:t xml:space="preserve">Capital One entered Q2 with a relatively constructive consumer-credit backdrop. In Q1:</w:t>
      </w:r>
    </w:p>
    <w:p>
      <w:pPr>
        <w:pStyle w:val="Compact"/>
        <w:numPr>
          <w:ilvl w:val="0"/>
          <w:numId w:val="1002"/>
        </w:numPr>
      </w:pPr>
      <w:r>
        <w:t xml:space="preserve">Domestic Card’s charge-off rate was</w:t>
      </w:r>
      <w:r>
        <w:t xml:space="preserve"> </w:t>
      </w:r>
      <w:r>
        <w:rPr>
          <w:b/>
          <w:bCs/>
        </w:rPr>
        <w:t xml:space="preserve">5.10%</w:t>
      </w:r>
      <w:r>
        <w:t xml:space="preserve">, improving 109 basis points year over year.</w:t>
      </w:r>
    </w:p>
    <w:p>
      <w:pPr>
        <w:pStyle w:val="Compact"/>
        <w:numPr>
          <w:ilvl w:val="0"/>
          <w:numId w:val="1002"/>
        </w:numPr>
      </w:pPr>
      <w:r>
        <w:t xml:space="preserve">Domestic Card delinquencies were</w:t>
      </w:r>
      <w:r>
        <w:t xml:space="preserve"> </w:t>
      </w:r>
      <w:r>
        <w:rPr>
          <w:b/>
          <w:bCs/>
        </w:rPr>
        <w:t xml:space="preserve">3.70%</w:t>
      </w:r>
      <w:r>
        <w:t xml:space="preserve">, down 55 basis points year over year.</w:t>
      </w:r>
    </w:p>
    <w:p>
      <w:pPr>
        <w:pStyle w:val="Compact"/>
        <w:numPr>
          <w:ilvl w:val="0"/>
          <w:numId w:val="1002"/>
        </w:numPr>
      </w:pPr>
      <w:r>
        <w:t xml:space="preserve">Auto losses remained near pre-pandemic levels, with a Q1 charge-off rate of</w:t>
      </w:r>
      <w:r>
        <w:t xml:space="preserve"> </w:t>
      </w:r>
      <w:r>
        <w:rPr>
          <w:b/>
          <w:bCs/>
        </w:rPr>
        <w:t xml:space="preserve">1.64%</w:t>
      </w:r>
      <w:r>
        <w:t xml:space="preserve">.</w:t>
      </w:r>
    </w:p>
    <w:p>
      <w:pPr>
        <w:pStyle w:val="Compact"/>
        <w:numPr>
          <w:ilvl w:val="0"/>
          <w:numId w:val="1002"/>
        </w:numPr>
      </w:pPr>
      <w:r>
        <w:t xml:space="preserve">The company built only</w:t>
      </w:r>
      <w:r>
        <w:t xml:space="preserve"> </w:t>
      </w:r>
      <w:r>
        <w:rPr>
          <w:b/>
          <w:bCs/>
        </w:rPr>
        <w:t xml:space="preserve">$230 million</w:t>
      </w:r>
      <w:r>
        <w:t xml:space="preserve"> </w:t>
      </w:r>
      <w:r>
        <w:t xml:space="preserve">of reserves despite incorporating greater downside macroeconomic risk.</w:t>
      </w:r>
    </w:p>
    <w:p>
      <w:pPr>
        <w:pStyle w:val="FirstParagraph"/>
      </w:pPr>
      <w:r>
        <w:t xml:space="preserve">Monthly data subsequently showed further improvement in card credit: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April 2026</w:t>
            </w:r>
          </w:p>
        </w:tc>
        <w:tc>
          <w:tcPr/>
          <w:p>
            <w:pPr>
              <w:pStyle w:val="Compact"/>
              <w:jc w:val="right"/>
            </w:pPr>
            <w:r>
              <w:t xml:space="preserve">May 2026</w:t>
            </w:r>
          </w:p>
        </w:tc>
      </w:tr>
      <w:tr>
        <w:tc>
          <w:tcPr/>
          <w:p>
            <w:pPr>
              <w:pStyle w:val="Compact"/>
            </w:pPr>
            <w:r>
              <w:t xml:space="preserve">Domestic Card net charge-off rate</w:t>
            </w:r>
          </w:p>
        </w:tc>
        <w:tc>
          <w:tcPr/>
          <w:p>
            <w:pPr>
              <w:pStyle w:val="Compact"/>
              <w:jc w:val="right"/>
            </w:pPr>
            <w:r>
              <w:t xml:space="preserve">4.94%</w:t>
            </w:r>
          </w:p>
        </w:tc>
        <w:tc>
          <w:tcPr/>
          <w:p>
            <w:pPr>
              <w:pStyle w:val="Compact"/>
              <w:jc w:val="right"/>
            </w:pPr>
            <w:r>
              <w:rPr>
                <w:b/>
                <w:bCs/>
              </w:rPr>
              <w:t xml:space="preserve">4.82%</w:t>
            </w:r>
          </w:p>
        </w:tc>
      </w:tr>
      <w:tr>
        <w:tc>
          <w:tcPr/>
          <w:p>
            <w:pPr>
              <w:pStyle w:val="Compact"/>
            </w:pPr>
            <w:r>
              <w:t xml:space="preserve">Domestic Card 30+ day delinquency rate</w:t>
            </w:r>
          </w:p>
        </w:tc>
        <w:tc>
          <w:tcPr/>
          <w:p>
            <w:pPr>
              <w:pStyle w:val="Compact"/>
              <w:jc w:val="right"/>
            </w:pPr>
            <w:r>
              <w:t xml:space="preserve">3.44%</w:t>
            </w:r>
          </w:p>
        </w:tc>
        <w:tc>
          <w:tcPr/>
          <w:p>
            <w:pPr>
              <w:pStyle w:val="Compact"/>
              <w:jc w:val="right"/>
            </w:pPr>
            <w:r>
              <w:rPr>
                <w:b/>
                <w:bCs/>
              </w:rPr>
              <w:t xml:space="preserve">3.33%</w:t>
            </w:r>
          </w:p>
        </w:tc>
      </w:tr>
      <w:tr>
        <w:tc>
          <w:tcPr/>
          <w:p>
            <w:pPr>
              <w:pStyle w:val="Compact"/>
            </w:pPr>
            <w:r>
              <w:t xml:space="preserve">Auto net charge-off rate</w:t>
            </w:r>
          </w:p>
        </w:tc>
        <w:tc>
          <w:tcPr/>
          <w:p>
            <w:pPr>
              <w:pStyle w:val="Compact"/>
              <w:jc w:val="right"/>
            </w:pPr>
            <w:r>
              <w:t xml:space="preserve">1.20%</w:t>
            </w:r>
          </w:p>
        </w:tc>
        <w:tc>
          <w:tcPr/>
          <w:p>
            <w:pPr>
              <w:pStyle w:val="Compact"/>
              <w:jc w:val="right"/>
            </w:pPr>
            <w:r>
              <w:rPr>
                <w:b/>
                <w:bCs/>
              </w:rPr>
              <w:t xml:space="preserve">1.45%</w:t>
            </w:r>
          </w:p>
        </w:tc>
      </w:tr>
      <w:tr>
        <w:tc>
          <w:tcPr/>
          <w:p>
            <w:pPr>
              <w:pStyle w:val="Compact"/>
            </w:pPr>
            <w:r>
              <w:t xml:space="preserve">Auto 30+ day delinquency rate</w:t>
            </w:r>
          </w:p>
        </w:tc>
        <w:tc>
          <w:tcPr/>
          <w:p>
            <w:pPr>
              <w:pStyle w:val="Compact"/>
              <w:jc w:val="right"/>
            </w:pPr>
            <w:r>
              <w:t xml:space="preserve">4.02%</w:t>
            </w:r>
          </w:p>
        </w:tc>
        <w:tc>
          <w:tcPr/>
          <w:p>
            <w:pPr>
              <w:pStyle w:val="Compact"/>
              <w:jc w:val="right"/>
            </w:pPr>
            <w:r>
              <w:rPr>
                <w:b/>
                <w:bCs/>
              </w:rPr>
              <w:t xml:space="preserve">4.24%</w:t>
            </w:r>
          </w:p>
        </w:tc>
      </w:tr>
    </w:tbl>
    <w:p>
      <w:pPr>
        <w:pStyle w:val="BodyText"/>
      </w:pPr>
      <w:r>
        <w:t xml:space="preserve">The card data suggest Q2 losses should compare favorably with Q1, although June can influence the quarterly result and monthly charge-offs are sometimes affected by recovery and debt-sale timing.</w:t>
      </w:r>
    </w:p>
    <w:p>
      <w:pPr>
        <w:pStyle w:val="BodyText"/>
      </w:pPr>
      <w:r>
        <w:t xml:space="preserve">Auto deserves closer scrutiny. The May metrics weakened from April, and Capital One has been growing originations while accepting a somewhat higher subprime mix. Management previously attributed the Q1 auto reserve build to strong growth, mix, and a modestly weaker vehicle-value outlook. Investors should listen for any change in used-car prices, payment performance, or the quality of newer vintages.</w:t>
      </w:r>
    </w:p>
    <w:bookmarkStart w:id="11" w:name="what-would-count-as-a-positive"/>
    <w:p>
      <w:pPr>
        <w:pStyle w:val="Heading3"/>
      </w:pPr>
      <w:r>
        <w:t xml:space="preserve">What would count as a positive?</w:t>
      </w:r>
    </w:p>
    <w:p>
      <w:pPr>
        <w:pStyle w:val="Compact"/>
        <w:numPr>
          <w:ilvl w:val="0"/>
          <w:numId w:val="1003"/>
        </w:numPr>
      </w:pPr>
      <w:r>
        <w:t xml:space="preserve">Domestic Card charge-offs below or around Q1’s 5.10%.</w:t>
      </w:r>
    </w:p>
    <w:p>
      <w:pPr>
        <w:pStyle w:val="Compact"/>
        <w:numPr>
          <w:ilvl w:val="0"/>
          <w:numId w:val="1003"/>
        </w:numPr>
      </w:pPr>
      <w:r>
        <w:t xml:space="preserve">Continued year-over-year improvement in delinquencies.</w:t>
      </w:r>
    </w:p>
    <w:p>
      <w:pPr>
        <w:pStyle w:val="Compact"/>
        <w:numPr>
          <w:ilvl w:val="0"/>
          <w:numId w:val="1003"/>
        </w:numPr>
      </w:pPr>
      <w:r>
        <w:t xml:space="preserve">Limited reserve building beyond portfolio growth.</w:t>
      </w:r>
    </w:p>
    <w:p>
      <w:pPr>
        <w:pStyle w:val="Compact"/>
        <w:numPr>
          <w:ilvl w:val="0"/>
          <w:numId w:val="1003"/>
        </w:numPr>
      </w:pPr>
      <w:r>
        <w:t xml:space="preserve">Confirmation that recent originations remain resilient.</w:t>
      </w:r>
    </w:p>
    <w:bookmarkEnd w:id="11"/>
    <w:bookmarkStart w:id="12" w:name="what-would-be-concerning"/>
    <w:p>
      <w:pPr>
        <w:pStyle w:val="Heading3"/>
      </w:pPr>
      <w:r>
        <w:t xml:space="preserve">What would be concerning?</w:t>
      </w:r>
    </w:p>
    <w:p>
      <w:pPr>
        <w:pStyle w:val="Compact"/>
        <w:numPr>
          <w:ilvl w:val="0"/>
          <w:numId w:val="1004"/>
        </w:numPr>
      </w:pPr>
      <w:r>
        <w:t xml:space="preserve">A material sequential increase in card delinquencies after adjusting for seasonality.</w:t>
      </w:r>
    </w:p>
    <w:p>
      <w:pPr>
        <w:pStyle w:val="Compact"/>
        <w:numPr>
          <w:ilvl w:val="0"/>
          <w:numId w:val="1004"/>
        </w:numPr>
      </w:pPr>
      <w:r>
        <w:t xml:space="preserve">Larger qualitative reserves tied to energy prices, unemployment, or geopolitical risk.</w:t>
      </w:r>
    </w:p>
    <w:p>
      <w:pPr>
        <w:pStyle w:val="Compact"/>
        <w:numPr>
          <w:ilvl w:val="0"/>
          <w:numId w:val="1004"/>
        </w:numPr>
      </w:pPr>
      <w:r>
        <w:t xml:space="preserve">Auto deterioration beyond what management characterizes as normal monthly volatility.</w:t>
      </w:r>
    </w:p>
    <w:p>
      <w:r>
        <w:pict>
          <v:rect style="width:0;height:1.5pt" o:hralign="center" o:hrstd="t" o:hr="t"/>
        </w:pict>
      </w:r>
    </w:p>
    <w:bookmarkEnd w:id="12"/>
    <w:bookmarkEnd w:id="13"/>
    <w:bookmarkStart w:id="14" w:name="X1dafad86b32ea5cbc60a4b411fb43f1ab58df03"/>
    <w:p>
      <w:pPr>
        <w:pStyle w:val="Heading2"/>
      </w:pPr>
      <w:r>
        <w:t xml:space="preserve">2. Net interest margin should rebound, but balance-sheet composition matters</w:t>
      </w:r>
    </w:p>
    <w:p>
      <w:pPr>
        <w:pStyle w:val="FirstParagraph"/>
      </w:pPr>
      <w:r>
        <w:t xml:space="preserve">Q1 NIM fell 39 basis points sequentially to</w:t>
      </w:r>
      <w:r>
        <w:t xml:space="preserve"> </w:t>
      </w:r>
      <w:r>
        <w:rPr>
          <w:b/>
          <w:bCs/>
        </w:rPr>
        <w:t xml:space="preserve">7.87%</w:t>
      </w:r>
      <w:r>
        <w:t xml:space="preserve">, largely because of:</w:t>
      </w:r>
    </w:p>
    <w:p>
      <w:pPr>
        <w:pStyle w:val="Compact"/>
        <w:numPr>
          <w:ilvl w:val="0"/>
          <w:numId w:val="1005"/>
        </w:numPr>
      </w:pPr>
      <w:r>
        <w:t xml:space="preserve">Two fewer calendar days, worth approximately 18 basis points.</w:t>
      </w:r>
    </w:p>
    <w:p>
      <w:pPr>
        <w:pStyle w:val="Compact"/>
        <w:numPr>
          <w:ilvl w:val="0"/>
          <w:numId w:val="1005"/>
        </w:numPr>
      </w:pPr>
      <w:r>
        <w:t xml:space="preserve">Seasonal paydown of high-yielding card balances.</w:t>
      </w:r>
    </w:p>
    <w:p>
      <w:pPr>
        <w:pStyle w:val="Compact"/>
        <w:numPr>
          <w:ilvl w:val="0"/>
          <w:numId w:val="1005"/>
        </w:numPr>
      </w:pPr>
      <w:r>
        <w:t xml:space="preserve">An unusually large cash position.</w:t>
      </w:r>
    </w:p>
    <w:p>
      <w:pPr>
        <w:pStyle w:val="Compact"/>
        <w:numPr>
          <w:ilvl w:val="0"/>
          <w:numId w:val="1005"/>
        </w:numPr>
      </w:pPr>
      <w:r>
        <w:t xml:space="preserve">Strong deposit inflows.</w:t>
      </w:r>
    </w:p>
    <w:p>
      <w:pPr>
        <w:pStyle w:val="Compact"/>
        <w:numPr>
          <w:ilvl w:val="0"/>
          <w:numId w:val="1005"/>
        </w:numPr>
      </w:pPr>
      <w:r>
        <w:t xml:space="preserve">The full-quarter effect of the Discover Home Loans portfolio sale.</w:t>
      </w:r>
    </w:p>
    <w:p>
      <w:pPr>
        <w:pStyle w:val="FirstParagraph"/>
      </w:pPr>
      <w:r>
        <w:t xml:space="preserve">Management indicated that Q2 receives approximately</w:t>
      </w:r>
      <w:r>
        <w:t xml:space="preserve"> </w:t>
      </w:r>
      <w:r>
        <w:rPr>
          <w:b/>
          <w:bCs/>
        </w:rPr>
        <w:t xml:space="preserve">nine basis points from one additional day</w:t>
      </w:r>
      <w:r>
        <w:t xml:space="preserve">. It also expected the $76 billion quarter-end cash position to decline due to tax payments, debt maturities, and normalization after seasonal deposit inflows.</w:t>
      </w:r>
    </w:p>
    <w:p>
      <w:pPr>
        <w:pStyle w:val="BodyText"/>
      </w:pPr>
      <w:r>
        <w:t xml:space="preserve">Domestic Card balances already increased from</w:t>
      </w:r>
      <w:r>
        <w:t xml:space="preserve"> </w:t>
      </w:r>
      <w:r>
        <w:rPr>
          <w:b/>
          <w:bCs/>
        </w:rPr>
        <w:t xml:space="preserve">$254.0 billion at March 31 to</w:t>
      </w:r>
      <w:r>
        <w:rPr>
          <w:b/>
          <w:bCs/>
        </w:rPr>
        <w:t xml:space="preserve"> </w:t>
      </w:r>
      <m:oMath>
        <m:r>
          <m:t>258.0</m:t>
        </m:r>
        <m:r>
          <m:t>b</m:t>
        </m:r>
        <m:r>
          <m:t>i</m:t>
        </m:r>
        <m:r>
          <m:t>l</m:t>
        </m:r>
        <m:r>
          <m:t>l</m:t>
        </m:r>
        <m:r>
          <m:t>i</m:t>
        </m:r>
        <m:r>
          <m:t>o</m:t>
        </m:r>
        <m:r>
          <m:t>n</m:t>
        </m:r>
        <m:r>
          <m:t>a</m:t>
        </m:r>
        <m:r>
          <m:t>t</m:t>
        </m:r>
        <m:r>
          <m:t>M</m:t>
        </m:r>
        <m:r>
          <m:t>a</m:t>
        </m:r>
        <m:r>
          <m:t>y</m:t>
        </m:r>
        <m:r>
          <m:t>31</m:t>
        </m:r>
        <m:r>
          <m:rPr>
            <m:sty m:val="p"/>
          </m:rPr>
          <m:t>*</m:t>
        </m:r>
        <m:r>
          <m:rPr>
            <m:sty m:val="p"/>
          </m:rPr>
          <m:t>*</m:t>
        </m:r>
        <m:r>
          <m:rPr>
            <m:sty m:val="p"/>
          </m:rPr>
          <m:t>,</m:t>
        </m:r>
        <m:r>
          <m:t>w</m:t>
        </m:r>
        <m:r>
          <m:t>h</m:t>
        </m:r>
        <m:r>
          <m:t>i</m:t>
        </m:r>
        <m:r>
          <m:t>l</m:t>
        </m:r>
        <m:r>
          <m:t>e</m:t>
        </m:r>
        <m:r>
          <m:t>a</m:t>
        </m:r>
        <m:r>
          <m:t>u</m:t>
        </m:r>
        <m:r>
          <m:t>t</m:t>
        </m:r>
        <m:r>
          <m:t>o</m:t>
        </m:r>
        <m:r>
          <m:t>l</m:t>
        </m:r>
        <m:r>
          <m:t>o</m:t>
        </m:r>
        <m:r>
          <m:t>a</m:t>
        </m:r>
        <m:r>
          <m:t>n</m:t>
        </m:r>
        <m:r>
          <m:t>s</m:t>
        </m:r>
        <m:r>
          <m:t>r</m:t>
        </m:r>
        <m:r>
          <m:t>o</m:t>
        </m:r>
        <m:r>
          <m:t>s</m:t>
        </m:r>
        <m:r>
          <m:t>e</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85.7 billion to $88.0 billion</w:t>
      </w:r>
      <w:r>
        <w:t xml:space="preserve">. That should improve earning-asset mix and support sequential net interest income.</w:t>
      </w:r>
    </w:p>
    <w:p>
      <w:pPr>
        <w:pStyle w:val="BodyText"/>
      </w:pPr>
      <w:r>
        <w:t xml:space="preserve">The key question is whether excess liquidity actually came down. Continued strong deposit gathering is strategically favorable, but if cash remains elevated, it could again dilute NIM.</w:t>
      </w:r>
    </w:p>
    <w:p>
      <w:pPr>
        <w:pStyle w:val="BodyText"/>
      </w:pPr>
      <w:r>
        <w:rPr>
          <w:b/>
          <w:bCs/>
        </w:rPr>
        <w:t xml:space="preserve">Base case:</w:t>
      </w:r>
      <w:r>
        <w:t xml:space="preserve"> </w:t>
      </w:r>
      <w:r>
        <w:t xml:space="preserve">a sequential NIM recovery driven by calendar days, card balance growth, and lower cash, though not necessarily a full return to late-2025 levels.</w:t>
      </w:r>
    </w:p>
    <w:p>
      <w:r>
        <w:pict>
          <v:rect style="width:0;height:1.5pt" o:hralign="center" o:hrstd="t" o:hr="t"/>
        </w:pict>
      </w:r>
    </w:p>
    <w:bookmarkEnd w:id="14"/>
    <w:bookmarkStart w:id="16" w:name="X3a3703535a4f8cbedbfd471d24cb4ec0fe56e89"/>
    <w:p>
      <w:pPr>
        <w:pStyle w:val="Heading2"/>
      </w:pPr>
      <w:r>
        <w:t xml:space="preserve">3. Expenses are probably the swing factor</w:t>
      </w:r>
    </w:p>
    <w:p>
      <w:pPr>
        <w:pStyle w:val="FirstParagraph"/>
      </w:pPr>
      <w:r>
        <w:t xml:space="preserve">Q1’s adjusted efficiency ratio of</w:t>
      </w:r>
      <w:r>
        <w:t xml:space="preserve"> </w:t>
      </w:r>
      <w:r>
        <w:rPr>
          <w:b/>
          <w:bCs/>
        </w:rPr>
        <w:t xml:space="preserve">49.71%</w:t>
      </w:r>
      <w:r>
        <w:t xml:space="preserve"> </w:t>
      </w:r>
      <w:r>
        <w:t xml:space="preserve">benefited from seasonally low marketing and the timing of planned investments. Management explicitly said marketing would be heavier in Q2 and later quarters.</w:t>
      </w:r>
    </w:p>
    <w:p>
      <w:pPr>
        <w:pStyle w:val="BodyText"/>
      </w:pPr>
      <w:r>
        <w:t xml:space="preserve">Q2 will also include:</w:t>
      </w:r>
    </w:p>
    <w:p>
      <w:pPr>
        <w:pStyle w:val="Compact"/>
        <w:numPr>
          <w:ilvl w:val="0"/>
          <w:numId w:val="1006"/>
        </w:numPr>
      </w:pPr>
      <w:r>
        <w:t xml:space="preserve">Nearly a full quarter of</w:t>
      </w:r>
      <w:r>
        <w:t xml:space="preserve"> </w:t>
      </w:r>
      <w:r>
        <w:rPr>
          <w:b/>
          <w:bCs/>
        </w:rPr>
        <w:t xml:space="preserve">Brex</w:t>
      </w:r>
      <w:r>
        <w:t xml:space="preserve">, acquired on April 7.</w:t>
      </w:r>
    </w:p>
    <w:p>
      <w:pPr>
        <w:pStyle w:val="Compact"/>
        <w:numPr>
          <w:ilvl w:val="0"/>
          <w:numId w:val="1006"/>
        </w:numPr>
      </w:pPr>
      <w:r>
        <w:t xml:space="preserve">The insourced</w:t>
      </w:r>
      <w:r>
        <w:t xml:space="preserve"> </w:t>
      </w:r>
      <w:r>
        <w:rPr>
          <w:b/>
          <w:bCs/>
        </w:rPr>
        <w:t xml:space="preserve">Capital One Travel/Hopper infrastructure</w:t>
      </w:r>
      <w:r>
        <w:t xml:space="preserve">.</w:t>
      </w:r>
    </w:p>
    <w:p>
      <w:pPr>
        <w:pStyle w:val="Compact"/>
        <w:numPr>
          <w:ilvl w:val="0"/>
          <w:numId w:val="1006"/>
        </w:numPr>
      </w:pPr>
      <w:r>
        <w:t xml:space="preserve">Continued investments in premium-card benefits and lounges.</w:t>
      </w:r>
    </w:p>
    <w:p>
      <w:pPr>
        <w:pStyle w:val="Compact"/>
        <w:numPr>
          <w:ilvl w:val="0"/>
          <w:numId w:val="1006"/>
        </w:numPr>
      </w:pPr>
      <w:r>
        <w:t xml:space="preserve">Discover-network acceptance, brand, and technology spending.</w:t>
      </w:r>
    </w:p>
    <w:p>
      <w:pPr>
        <w:pStyle w:val="Compact"/>
        <w:numPr>
          <w:ilvl w:val="0"/>
          <w:numId w:val="1006"/>
        </w:numPr>
      </w:pPr>
      <w:r>
        <w:t xml:space="preserve">AI and data-platform investment.</w:t>
      </w:r>
    </w:p>
    <w:p>
      <w:pPr>
        <w:pStyle w:val="Compact"/>
        <w:numPr>
          <w:ilvl w:val="0"/>
          <w:numId w:val="1006"/>
        </w:numPr>
      </w:pPr>
      <w:r>
        <w:t xml:space="preserve">Ongoing Discover integration costs.</w:t>
      </w:r>
    </w:p>
    <w:p>
      <w:pPr>
        <w:pStyle w:val="FirstParagraph"/>
      </w:pPr>
      <w:r>
        <w:t xml:space="preserve">That makes a sequential increase in both marketing and operating expenses likely. An adjusted efficiency ratio above Q1’s 49.7% would not necessarily be a thesis breaker, but management needs to demonstrate that the increase is planned and attached to measurable growth opportunities.</w:t>
      </w:r>
    </w:p>
    <w:p>
      <w:pPr>
        <w:pStyle w:val="BodyText"/>
      </w:pPr>
      <w:r>
        <w:t xml:space="preserve">The market will be less forgiving if higher expenses are accompanied by weak revenue, delayed synergies, or another refusal to provide any bridge toward normalized returns.</w:t>
      </w:r>
    </w:p>
    <w:bookmarkStart w:id="15" w:name="the-important-distinction"/>
    <w:p>
      <w:pPr>
        <w:pStyle w:val="Heading3"/>
      </w:pPr>
      <w:r>
        <w:t xml:space="preserve">The important distinction</w:t>
      </w:r>
    </w:p>
    <w:p>
      <w:pPr>
        <w:pStyle w:val="FirstParagraph"/>
      </w:pPr>
      <w:r>
        <w:t xml:space="preserve">Investors should separate:</w:t>
      </w:r>
    </w:p>
    <w:p>
      <w:pPr>
        <w:pStyle w:val="Compact"/>
        <w:numPr>
          <w:ilvl w:val="0"/>
          <w:numId w:val="1007"/>
        </w:numPr>
      </w:pPr>
      <w:r>
        <w:rPr>
          <w:b/>
          <w:bCs/>
        </w:rPr>
        <w:t xml:space="preserve">Integration expense</w:t>
      </w:r>
      <w:r>
        <w:t xml:space="preserve">, which should eventually disappear;</w:t>
      </w:r>
    </w:p>
    <w:p>
      <w:pPr>
        <w:pStyle w:val="Compact"/>
        <w:numPr>
          <w:ilvl w:val="0"/>
          <w:numId w:val="1007"/>
        </w:numPr>
      </w:pPr>
      <w:r>
        <w:rPr>
          <w:b/>
          <w:bCs/>
        </w:rPr>
        <w:t xml:space="preserve">Incremental investment</w:t>
      </w:r>
      <w:r>
        <w:t xml:space="preserve">, which management intends to sustain where returns are attractive; and</w:t>
      </w:r>
    </w:p>
    <w:p>
      <w:pPr>
        <w:pStyle w:val="Compact"/>
        <w:numPr>
          <w:ilvl w:val="0"/>
          <w:numId w:val="1007"/>
        </w:numPr>
      </w:pPr>
      <w:r>
        <w:rPr>
          <w:b/>
          <w:bCs/>
        </w:rPr>
        <w:t xml:space="preserve">Core operating expense</w:t>
      </w:r>
      <w:r>
        <w:t xml:space="preserve">, where Discover-related cost synergies should eventually emerge.</w:t>
      </w:r>
    </w:p>
    <w:p>
      <w:pPr>
        <w:pStyle w:val="FirstParagraph"/>
      </w:pPr>
      <w:r>
        <w:t xml:space="preserve">Expense synergies are back-loaded because they depend on technology conversions and application decommissioning. Management has said they should be fully realized only after integration is completed in the</w:t>
      </w:r>
      <w:r>
        <w:t xml:space="preserve"> </w:t>
      </w:r>
      <w:r>
        <w:rPr>
          <w:b/>
          <w:bCs/>
        </w:rPr>
        <w:t xml:space="preserve">first half of 2027</w:t>
      </w:r>
      <w:r>
        <w:t xml:space="preserve">.</w:t>
      </w:r>
    </w:p>
    <w:p>
      <w:r>
        <w:pict>
          <v:rect style="width:0;height:1.5pt" o:hralign="center" o:hrstd="t" o:hr="t"/>
        </w:pict>
      </w:r>
    </w:p>
    <w:bookmarkEnd w:id="15"/>
    <w:bookmarkEnd w:id="16"/>
    <w:bookmarkStart w:id="17" w:name="X3037052b36ea8a8b651810e9ad75702d3a1de36"/>
    <w:p>
      <w:pPr>
        <w:pStyle w:val="Heading2"/>
      </w:pPr>
      <w:r>
        <w:t xml:space="preserve">4. Discover integration: execution matters more than near-term loan growth</w:t>
      </w:r>
    </w:p>
    <w:p>
      <w:pPr>
        <w:pStyle w:val="FirstParagraph"/>
      </w:pPr>
      <w:r>
        <w:t xml:space="preserve">Capital One continues to target</w:t>
      </w:r>
      <w:r>
        <w:t xml:space="preserve"> </w:t>
      </w:r>
      <w:r>
        <w:rPr>
          <w:b/>
          <w:bCs/>
        </w:rPr>
        <w:t xml:space="preserve">$2.5 billion of total Discover synergies by mid-2027</w:t>
      </w:r>
      <w:r>
        <w:t xml:space="preserve">.</w:t>
      </w:r>
    </w:p>
    <w:p>
      <w:pPr>
        <w:pStyle w:val="BodyText"/>
      </w:pPr>
      <w:r>
        <w:t xml:space="preserve">The revenue side is further advanced:</w:t>
      </w:r>
    </w:p>
    <w:p>
      <w:pPr>
        <w:pStyle w:val="Compact"/>
        <w:numPr>
          <w:ilvl w:val="0"/>
          <w:numId w:val="1008"/>
        </w:numPr>
      </w:pPr>
      <w:r>
        <w:t xml:space="preserve">Capital One’s debit customers have been migrated to the Discover network.</w:t>
      </w:r>
    </w:p>
    <w:p>
      <w:pPr>
        <w:pStyle w:val="Compact"/>
        <w:numPr>
          <w:ilvl w:val="0"/>
          <w:numId w:val="1008"/>
        </w:numPr>
      </w:pPr>
      <w:r>
        <w:t xml:space="preserve">Management said the full quarterly portion of debit-related revenue synergies should appear in Q2.</w:t>
      </w:r>
    </w:p>
    <w:p>
      <w:pPr>
        <w:pStyle w:val="Compact"/>
        <w:numPr>
          <w:ilvl w:val="0"/>
          <w:numId w:val="1008"/>
        </w:numPr>
      </w:pPr>
      <w:r>
        <w:t xml:space="preserve">Global Payment Network volume was approximately</w:t>
      </w:r>
      <w:r>
        <w:t xml:space="preserve"> </w:t>
      </w:r>
      <w:r>
        <w:rPr>
          <w:b/>
          <w:bCs/>
        </w:rPr>
        <w:t xml:space="preserve">$174 billion</w:t>
      </w:r>
      <w:r>
        <w:t xml:space="preserve"> </w:t>
      </w:r>
      <w:r>
        <w:t xml:space="preserve">in Q1.</w:t>
      </w:r>
    </w:p>
    <w:p>
      <w:pPr>
        <w:pStyle w:val="FirstParagraph"/>
      </w:pPr>
      <w:r>
        <w:t xml:space="preserve">The expense side remains more dependent on future systems conversions.</w:t>
      </w:r>
    </w:p>
    <w:p>
      <w:pPr>
        <w:pStyle w:val="BodyText"/>
      </w:pPr>
      <w:r>
        <w:t xml:space="preserve">The temporary weak point is Discover loan growth. Legacy Discover card balances were down</w:t>
      </w:r>
      <w:r>
        <w:t xml:space="preserve"> </w:t>
      </w:r>
      <w:r>
        <w:rPr>
          <w:b/>
          <w:bCs/>
        </w:rPr>
        <w:t xml:space="preserve">1.2% year over year</w:t>
      </w:r>
      <w:r>
        <w:t xml:space="preserve"> </w:t>
      </w:r>
      <w:r>
        <w:t xml:space="preserve">in Q1 following earlier underwriting cutbacks and additional Capital One tightening in higher-balance revolvers. Management expects that “brownout” to intensify somewhat before the technology integration is completed.</w:t>
      </w:r>
    </w:p>
    <w:p>
      <w:pPr>
        <w:pStyle w:val="BodyText"/>
      </w:pPr>
      <w:r>
        <w:t xml:space="preserve">Key milestones to monitor:</w:t>
      </w:r>
    </w:p>
    <w:p>
      <w:pPr>
        <w:pStyle w:val="Compact"/>
        <w:numPr>
          <w:ilvl w:val="0"/>
          <w:numId w:val="1009"/>
        </w:numPr>
      </w:pPr>
      <w:r>
        <w:t xml:space="preserve">Discover-branded new originations should be fully transitioned to Capital One technology by the</w:t>
      </w:r>
      <w:r>
        <w:t xml:space="preserve"> </w:t>
      </w:r>
      <w:r>
        <w:rPr>
          <w:b/>
          <w:bCs/>
        </w:rPr>
        <w:t xml:space="preserve">end of 3Q26</w:t>
      </w:r>
      <w:r>
        <w:t xml:space="preserve">.</w:t>
      </w:r>
    </w:p>
    <w:p>
      <w:pPr>
        <w:pStyle w:val="Compact"/>
        <w:numPr>
          <w:ilvl w:val="0"/>
          <w:numId w:val="1009"/>
        </w:numPr>
      </w:pPr>
      <w:r>
        <w:t xml:space="preserve">Existing Discover accounts are expected to migrate in phases, with completion in</w:t>
      </w:r>
      <w:r>
        <w:t xml:space="preserve"> </w:t>
      </w:r>
      <w:r>
        <w:rPr>
          <w:b/>
          <w:bCs/>
        </w:rPr>
        <w:t xml:space="preserve">1Q27</w:t>
      </w:r>
      <w:r>
        <w:t xml:space="preserve">.</w:t>
      </w:r>
    </w:p>
    <w:p>
      <w:pPr>
        <w:pStyle w:val="Compact"/>
        <w:numPr>
          <w:ilvl w:val="0"/>
          <w:numId w:val="1009"/>
        </w:numPr>
      </w:pPr>
      <w:r>
        <w:t xml:space="preserve">Loan-growth benefits will lag those conversions by several quarters.</w:t>
      </w:r>
    </w:p>
    <w:p>
      <w:pPr>
        <w:pStyle w:val="Compact"/>
        <w:numPr>
          <w:ilvl w:val="0"/>
          <w:numId w:val="1009"/>
        </w:numPr>
      </w:pPr>
      <w:r>
        <w:t xml:space="preserve">Capital One is testing the issuance of cards on the Discover network, with broader credit-card migration a longer-term initiative.</w:t>
      </w:r>
    </w:p>
    <w:p>
      <w:pPr>
        <w:pStyle w:val="FirstParagraph"/>
      </w:pPr>
      <w:r>
        <w:t xml:space="preserve">For Q2, investors should not demand strong legacy Discover balance growth. They should demand</w:t>
      </w:r>
      <w:r>
        <w:t xml:space="preserve"> </w:t>
      </w:r>
      <w:r>
        <w:rPr>
          <w:b/>
          <w:bCs/>
        </w:rPr>
        <w:t xml:space="preserve">on-time migration milestones, stable customer experience, realization of debit synergies, and continued confidence in the $2.5 billion target</w:t>
      </w:r>
      <w:r>
        <w:t xml:space="preserve">.</w:t>
      </w:r>
    </w:p>
    <w:p>
      <w:r>
        <w:pict>
          <v:rect style="width:0;height:1.5pt" o:hralign="center" o:hrstd="t" o:hr="t"/>
        </w:pict>
      </w:r>
    </w:p>
    <w:bookmarkEnd w:id="17"/>
    <w:bookmarkStart w:id="18" w:name="Xc5e937fa47e21ceecf2c3094b159b51f769be60"/>
    <w:p>
      <w:pPr>
        <w:pStyle w:val="Heading2"/>
      </w:pPr>
      <w:r>
        <w:t xml:space="preserve">5. Brex adds strategic potential—and near-term complexity</w:t>
      </w:r>
    </w:p>
    <w:p>
      <w:pPr>
        <w:pStyle w:val="FirstParagraph"/>
      </w:pPr>
      <w:r>
        <w:t xml:space="preserve">Capital One completed the Brex acquisition on April 7 for approximately</w:t>
      </w:r>
      <w:r>
        <w:t xml:space="preserve"> </w:t>
      </w:r>
      <w:r>
        <w:rPr>
          <w:b/>
          <w:bCs/>
        </w:rPr>
        <w:t xml:space="preserve">$4.5 billion</w:t>
      </w:r>
      <w:r>
        <w:t xml:space="preserve">. Management previously estimated that the transaction would reduce Q2 CET1 by a little over</w:t>
      </w:r>
      <w:r>
        <w:t xml:space="preserve"> </w:t>
      </w:r>
      <w:r>
        <w:rPr>
          <w:b/>
          <w:bCs/>
        </w:rPr>
        <w:t xml:space="preserve">40 basis points</w:t>
      </w:r>
      <w:r>
        <w:t xml:space="preserve">.</w:t>
      </w:r>
    </w:p>
    <w:p>
      <w:pPr>
        <w:pStyle w:val="BodyText"/>
      </w:pPr>
      <w:r>
        <w:t xml:space="preserve">Q2 will provide the first detailed look at:</w:t>
      </w:r>
    </w:p>
    <w:p>
      <w:pPr>
        <w:pStyle w:val="Compact"/>
        <w:numPr>
          <w:ilvl w:val="0"/>
          <w:numId w:val="1010"/>
        </w:numPr>
      </w:pPr>
      <w:r>
        <w:t xml:space="preserve">Brex purchase-accounting marks.</w:t>
      </w:r>
    </w:p>
    <w:p>
      <w:pPr>
        <w:pStyle w:val="Compact"/>
        <w:numPr>
          <w:ilvl w:val="0"/>
          <w:numId w:val="1010"/>
        </w:numPr>
      </w:pPr>
      <w:r>
        <w:t xml:space="preserve">Its contribution to revenue and expense.</w:t>
      </w:r>
    </w:p>
    <w:p>
      <w:pPr>
        <w:pStyle w:val="Compact"/>
        <w:numPr>
          <w:ilvl w:val="0"/>
          <w:numId w:val="1010"/>
        </w:numPr>
      </w:pPr>
      <w:r>
        <w:t xml:space="preserve">Incremental investment required to accelerate growth.</w:t>
      </w:r>
    </w:p>
    <w:p>
      <w:pPr>
        <w:pStyle w:val="Compact"/>
        <w:numPr>
          <w:ilvl w:val="0"/>
          <w:numId w:val="1010"/>
        </w:numPr>
      </w:pPr>
      <w:r>
        <w:t xml:space="preserve">Funding-cost benefits from moving Brex into Capital One.</w:t>
      </w:r>
    </w:p>
    <w:p>
      <w:pPr>
        <w:pStyle w:val="Compact"/>
        <w:numPr>
          <w:ilvl w:val="0"/>
          <w:numId w:val="1010"/>
        </w:numPr>
      </w:pPr>
      <w:r>
        <w:t xml:space="preserve">Early cross-selling and customer-acquisition opportunities.</w:t>
      </w:r>
    </w:p>
    <w:p>
      <w:pPr>
        <w:pStyle w:val="Compact"/>
        <w:numPr>
          <w:ilvl w:val="0"/>
          <w:numId w:val="1010"/>
        </w:numPr>
      </w:pPr>
      <w:r>
        <w:t xml:space="preserve">Any revised timetable for travel or broader commercial-payment integration.</w:t>
      </w:r>
    </w:p>
    <w:p>
      <w:pPr>
        <w:pStyle w:val="FirstParagraph"/>
      </w:pPr>
      <w:r>
        <w:t xml:space="preserve">Management is intentionally pursuing an “enablement” strategy rather than an immediate, deep integration. That could preserve Brex’s growth culture, but it also means investors should expect investment spending to precede much of the earnings benefit.</w:t>
      </w:r>
    </w:p>
    <w:p>
      <w:pPr>
        <w:pStyle w:val="BodyText"/>
      </w:pPr>
      <w:r>
        <w:t xml:space="preserve">A constructive update would quantify at least some combination of Brex’s revenue run rate, growth, funding benefits, investment needs, or path to profitability.</w:t>
      </w:r>
    </w:p>
    <w:p>
      <w:r>
        <w:pict>
          <v:rect style="width:0;height:1.5pt" o:hralign="center" o:hrstd="t" o:hr="t"/>
        </w:pict>
      </w:r>
    </w:p>
    <w:bookmarkEnd w:id="18"/>
    <w:bookmarkStart w:id="19" w:name="Xbdf29611d888847459d579dc89a63eee036888b"/>
    <w:p>
      <w:pPr>
        <w:pStyle w:val="Heading2"/>
      </w:pPr>
      <w:r>
        <w:t xml:space="preserve">6. Capital remains ample, but the buyback decision will be informative</w:t>
      </w:r>
    </w:p>
    <w:p>
      <w:pPr>
        <w:pStyle w:val="FirstParagraph"/>
      </w:pPr>
      <w:r>
        <w:t xml:space="preserve">Capital One ended Q1 with a</w:t>
      </w:r>
      <w:r>
        <w:t xml:space="preserve"> </w:t>
      </w:r>
      <w:r>
        <w:rPr>
          <w:b/>
          <w:bCs/>
        </w:rPr>
        <w:t xml:space="preserve">14.4% CET1 ratio</w:t>
      </w:r>
      <w:r>
        <w:t xml:space="preserve"> </w:t>
      </w:r>
      <w:r>
        <w:t xml:space="preserve">after repurchasing</w:t>
      </w:r>
      <w:r>
        <w:t xml:space="preserve"> </w:t>
      </w:r>
      <w:r>
        <w:rPr>
          <w:b/>
          <w:bCs/>
        </w:rPr>
        <w:t xml:space="preserve">$2.5 billion</w:t>
      </w:r>
      <w:r>
        <w:t xml:space="preserve"> </w:t>
      </w:r>
      <w:r>
        <w:t xml:space="preserve">of stock. The estimated Brex impact would mechanically bring that closer to 14.0% before considering Q2 earnings, balance-sheet changes, and additional repurchases.</w:t>
      </w:r>
    </w:p>
    <w:p>
      <w:pPr>
        <w:pStyle w:val="BodyText"/>
      </w:pPr>
      <w:r>
        <w:t xml:space="preserve">That still appears well above the</w:t>
      </w:r>
      <w:r>
        <w:t xml:space="preserve"> </w:t>
      </w:r>
      <w:r>
        <w:rPr>
          <w:b/>
          <w:bCs/>
        </w:rPr>
        <w:t xml:space="preserve">12.5% capital level</w:t>
      </w:r>
      <w:r>
        <w:t xml:space="preserve"> </w:t>
      </w:r>
      <w:r>
        <w:t xml:space="preserve">management uses when discussing the post-Discover ROTCE framework.</w:t>
      </w:r>
    </w:p>
    <w:p>
      <w:pPr>
        <w:pStyle w:val="BodyText"/>
      </w:pPr>
      <w:r>
        <w:t xml:space="preserve">Investors should watch:</w:t>
      </w:r>
    </w:p>
    <w:p>
      <w:pPr>
        <w:pStyle w:val="Compact"/>
        <w:numPr>
          <w:ilvl w:val="0"/>
          <w:numId w:val="1011"/>
        </w:numPr>
      </w:pPr>
      <w:r>
        <w:t xml:space="preserve">Q2 repurchase volume.</w:t>
      </w:r>
    </w:p>
    <w:p>
      <w:pPr>
        <w:pStyle w:val="Compact"/>
        <w:numPr>
          <w:ilvl w:val="0"/>
          <w:numId w:val="1011"/>
        </w:numPr>
      </w:pPr>
      <w:r>
        <w:t xml:space="preserve">Management’s desired operating CET1 range.</w:t>
      </w:r>
    </w:p>
    <w:p>
      <w:pPr>
        <w:pStyle w:val="Compact"/>
        <w:numPr>
          <w:ilvl w:val="0"/>
          <w:numId w:val="1011"/>
        </w:numPr>
      </w:pPr>
      <w:r>
        <w:t xml:space="preserve">The effect of Brex purchase accounting.</w:t>
      </w:r>
    </w:p>
    <w:p>
      <w:pPr>
        <w:pStyle w:val="Compact"/>
        <w:numPr>
          <w:ilvl w:val="0"/>
          <w:numId w:val="1011"/>
        </w:numPr>
      </w:pPr>
      <w:r>
        <w:t xml:space="preserve">Expected risk-weighted-asset growth.</w:t>
      </w:r>
    </w:p>
    <w:p>
      <w:pPr>
        <w:pStyle w:val="Compact"/>
        <w:numPr>
          <w:ilvl w:val="0"/>
          <w:numId w:val="1011"/>
        </w:numPr>
      </w:pPr>
      <w:r>
        <w:t xml:space="preserve">Whether management remains willing to return capital while retaining a conservative buffer.</w:t>
      </w:r>
    </w:p>
    <w:p>
      <w:pPr>
        <w:pStyle w:val="FirstParagraph"/>
      </w:pPr>
      <w:r>
        <w:t xml:space="preserve">Another $2.5 billion buyback would signal confidence in earnings and capital durability. A meaningful slowdown may indicate either greater macro caution or a preference to preserve capacity for growth and integration.</w:t>
      </w:r>
    </w:p>
    <w:p>
      <w:r>
        <w:pict>
          <v:rect style="width:0;height:1.5pt" o:hralign="center" o:hrstd="t" o:hr="t"/>
        </w:pict>
      </w:r>
    </w:p>
    <w:bookmarkEnd w:id="19"/>
    <w:bookmarkStart w:id="20" w:name="stock-setup"/>
    <w:p>
      <w:pPr>
        <w:pStyle w:val="Heading2"/>
      </w:pPr>
      <w:r>
        <w:t xml:space="preserve">Stock setup</w:t>
      </w:r>
    </w:p>
    <w:p>
      <w:pPr>
        <w:pStyle w:val="FirstParagraph"/>
      </w:pPr>
      <w:r>
        <w:t xml:space="preserve">COF closed July 20 at</w:t>
      </w:r>
      <w:r>
        <w:t xml:space="preserve"> </w:t>
      </w:r>
      <w:r>
        <w:rPr>
          <w:b/>
          <w:bCs/>
        </w:rPr>
        <w:t xml:space="preserve">$206.81</w:t>
      </w:r>
      <w:r>
        <w:t xml:space="preserve">, down approximately</w:t>
      </w:r>
      <w:r>
        <w:t xml:space="preserve"> </w:t>
      </w:r>
      <w:r>
        <w:rPr>
          <w:b/>
          <w:bCs/>
        </w:rPr>
        <w:t xml:space="preserve">16.6% from January 2</w:t>
      </w:r>
      <w:r>
        <w:t xml:space="preserve">, compared with declines of roughly 5.6% for American Express and 13.3% for Synchrony. COF is only about 2.1% above its April 21 close following the Q1 report.</w:t>
      </w:r>
    </w:p>
    <w:p>
      <w:pPr>
        <w:pStyle w:val="BodyText"/>
      </w:pPr>
      <w:r>
        <w:t xml:space="preserve">The underperformance suggests the market is already discounting some combination of:</w:t>
      </w:r>
    </w:p>
    <w:p>
      <w:pPr>
        <w:pStyle w:val="Compact"/>
        <w:numPr>
          <w:ilvl w:val="0"/>
          <w:numId w:val="1012"/>
        </w:numPr>
      </w:pPr>
      <w:r>
        <w:t xml:space="preserve">Elevated investment spending.</w:t>
      </w:r>
    </w:p>
    <w:p>
      <w:pPr>
        <w:pStyle w:val="Compact"/>
        <w:numPr>
          <w:ilvl w:val="0"/>
          <w:numId w:val="1012"/>
        </w:numPr>
      </w:pPr>
      <w:r>
        <w:t xml:space="preserve">Limited visibility into normalized EPS and ROTCE.</w:t>
      </w:r>
    </w:p>
    <w:p>
      <w:pPr>
        <w:pStyle w:val="Compact"/>
        <w:numPr>
          <w:ilvl w:val="0"/>
          <w:numId w:val="1012"/>
        </w:numPr>
      </w:pPr>
      <w:r>
        <w:t xml:space="preserve">Discover integration risk.</w:t>
      </w:r>
    </w:p>
    <w:p>
      <w:pPr>
        <w:pStyle w:val="Compact"/>
        <w:numPr>
          <w:ilvl w:val="0"/>
          <w:numId w:val="1012"/>
        </w:numPr>
      </w:pPr>
      <w:r>
        <w:t xml:space="preserve">Brex execution risk.</w:t>
      </w:r>
    </w:p>
    <w:p>
      <w:pPr>
        <w:pStyle w:val="Compact"/>
        <w:numPr>
          <w:ilvl w:val="0"/>
          <w:numId w:val="1012"/>
        </w:numPr>
      </w:pPr>
      <w:r>
        <w:t xml:space="preserve">Consumer-credit and macro uncertainty.</w:t>
      </w:r>
    </w:p>
    <w:p>
      <w:pPr>
        <w:pStyle w:val="FirstParagraph"/>
      </w:pPr>
      <w:r>
        <w:t xml:space="preserve">That lowers the bar for the headline quarter somewhat, but it raises the importance of forward-looking clarity.</w:t>
      </w:r>
    </w:p>
    <w:p>
      <w:r>
        <w:pict>
          <v:rect style="width:0;height:1.5pt" o:hralign="center" o:hrstd="t" o:hr="t"/>
        </w:pict>
      </w:r>
    </w:p>
    <w:bookmarkEnd w:id="20"/>
    <w:bookmarkStart w:id="24" w:name="earnings-reaction-framework"/>
    <w:p>
      <w:pPr>
        <w:pStyle w:val="Heading2"/>
      </w:pPr>
      <w:r>
        <w:t xml:space="preserve">Earnings reaction framework</w:t>
      </w:r>
    </w:p>
    <w:bookmarkStart w:id="21" w:name="bull-case"/>
    <w:p>
      <w:pPr>
        <w:pStyle w:val="Heading3"/>
      </w:pPr>
      <w:r>
        <w:t xml:space="preserve">Bull case</w:t>
      </w:r>
    </w:p>
    <w:p>
      <w:pPr>
        <w:pStyle w:val="Compact"/>
        <w:numPr>
          <w:ilvl w:val="0"/>
          <w:numId w:val="1013"/>
        </w:numPr>
      </w:pPr>
      <w:r>
        <w:t xml:space="preserve">Card charge-offs and delinquencies remain better than expected.</w:t>
      </w:r>
    </w:p>
    <w:p>
      <w:pPr>
        <w:pStyle w:val="Compact"/>
        <w:numPr>
          <w:ilvl w:val="0"/>
          <w:numId w:val="1013"/>
        </w:numPr>
      </w:pPr>
      <w:r>
        <w:t xml:space="preserve">NIM rebounds meaningfully as cash declines and card balances recover.</w:t>
      </w:r>
    </w:p>
    <w:p>
      <w:pPr>
        <w:pStyle w:val="Compact"/>
        <w:numPr>
          <w:ilvl w:val="0"/>
          <w:numId w:val="1013"/>
        </w:numPr>
      </w:pPr>
      <w:r>
        <w:t xml:space="preserve">Debit-network synergies lift revenue.</w:t>
      </w:r>
    </w:p>
    <w:p>
      <w:pPr>
        <w:pStyle w:val="Compact"/>
        <w:numPr>
          <w:ilvl w:val="0"/>
          <w:numId w:val="1013"/>
        </w:numPr>
      </w:pPr>
      <w:r>
        <w:t xml:space="preserve">Expense growth is contained despite Brex and heavier marketing.</w:t>
      </w:r>
    </w:p>
    <w:p>
      <w:pPr>
        <w:pStyle w:val="Compact"/>
        <w:numPr>
          <w:ilvl w:val="0"/>
          <w:numId w:val="1013"/>
        </w:numPr>
      </w:pPr>
      <w:r>
        <w:t xml:space="preserve">Management reiterates the $2.5 billion synergy target and offers a clearer normalized-returns framework.</w:t>
      </w:r>
    </w:p>
    <w:p>
      <w:pPr>
        <w:pStyle w:val="Compact"/>
        <w:numPr>
          <w:ilvl w:val="0"/>
          <w:numId w:val="1013"/>
        </w:numPr>
      </w:pPr>
      <w:r>
        <w:t xml:space="preserve">CET1 remains around or above 14%, with continued substantial repurchases.</w:t>
      </w:r>
    </w:p>
    <w:bookmarkEnd w:id="21"/>
    <w:bookmarkStart w:id="22" w:name="base-case"/>
    <w:p>
      <w:pPr>
        <w:pStyle w:val="Heading3"/>
      </w:pPr>
      <w:r>
        <w:t xml:space="preserve">Base case</w:t>
      </w:r>
    </w:p>
    <w:p>
      <w:pPr>
        <w:pStyle w:val="Compact"/>
        <w:numPr>
          <w:ilvl w:val="0"/>
          <w:numId w:val="1014"/>
        </w:numPr>
      </w:pPr>
      <w:r>
        <w:t xml:space="preserve">Credit remains broadly healthy.</w:t>
      </w:r>
    </w:p>
    <w:p>
      <w:pPr>
        <w:pStyle w:val="Compact"/>
        <w:numPr>
          <w:ilvl w:val="0"/>
          <w:numId w:val="1014"/>
        </w:numPr>
      </w:pPr>
      <w:r>
        <w:t xml:space="preserve">NIM improves modestly.</w:t>
      </w:r>
    </w:p>
    <w:p>
      <w:pPr>
        <w:pStyle w:val="Compact"/>
        <w:numPr>
          <w:ilvl w:val="0"/>
          <w:numId w:val="1014"/>
        </w:numPr>
      </w:pPr>
      <w:r>
        <w:t xml:space="preserve">Revenue rises sequentially, but expenses also step up.</w:t>
      </w:r>
    </w:p>
    <w:p>
      <w:pPr>
        <w:pStyle w:val="Compact"/>
        <w:numPr>
          <w:ilvl w:val="0"/>
          <w:numId w:val="1014"/>
        </w:numPr>
      </w:pPr>
      <w:r>
        <w:t xml:space="preserve">Discover integration remains on schedule.</w:t>
      </w:r>
    </w:p>
    <w:p>
      <w:pPr>
        <w:pStyle w:val="Compact"/>
        <w:numPr>
          <w:ilvl w:val="0"/>
          <w:numId w:val="1014"/>
        </w:numPr>
      </w:pPr>
      <w:r>
        <w:t xml:space="preserve">Brex adds cost and purchase-accounting noise without enough disclosure to materially change estimates.</w:t>
      </w:r>
    </w:p>
    <w:p>
      <w:pPr>
        <w:pStyle w:val="Compact"/>
        <w:numPr>
          <w:ilvl w:val="0"/>
          <w:numId w:val="1014"/>
        </w:numPr>
      </w:pPr>
      <w:r>
        <w:t xml:space="preserve">Management reiterates long-term earnings power but declines to provide more explicit guidance.</w:t>
      </w:r>
    </w:p>
    <w:bookmarkEnd w:id="22"/>
    <w:bookmarkStart w:id="23" w:name="bear-case"/>
    <w:p>
      <w:pPr>
        <w:pStyle w:val="Heading3"/>
      </w:pPr>
      <w:r>
        <w:t xml:space="preserve">Bear case</w:t>
      </w:r>
    </w:p>
    <w:p>
      <w:pPr>
        <w:pStyle w:val="Compact"/>
        <w:numPr>
          <w:ilvl w:val="0"/>
          <w:numId w:val="1015"/>
        </w:numPr>
      </w:pPr>
      <w:r>
        <w:t xml:space="preserve">Card or auto delinquencies turn higher outside normal seasonality.</w:t>
      </w:r>
    </w:p>
    <w:p>
      <w:pPr>
        <w:pStyle w:val="Compact"/>
        <w:numPr>
          <w:ilvl w:val="0"/>
          <w:numId w:val="1015"/>
        </w:numPr>
      </w:pPr>
      <w:r>
        <w:t xml:space="preserve">The company records another meaningful qualitative reserve build.</w:t>
      </w:r>
    </w:p>
    <w:p>
      <w:pPr>
        <w:pStyle w:val="Compact"/>
        <w:numPr>
          <w:ilvl w:val="0"/>
          <w:numId w:val="1015"/>
        </w:numPr>
      </w:pPr>
      <w:r>
        <w:t xml:space="preserve">Cash remains elevated, limiting NIM recovery.</w:t>
      </w:r>
    </w:p>
    <w:p>
      <w:pPr>
        <w:pStyle w:val="Compact"/>
        <w:numPr>
          <w:ilvl w:val="0"/>
          <w:numId w:val="1015"/>
        </w:numPr>
      </w:pPr>
      <w:r>
        <w:t xml:space="preserve">Marketing, Brex, travel, and integration costs push adjusted efficiency materially above expectations.</w:t>
      </w:r>
    </w:p>
    <w:p>
      <w:pPr>
        <w:pStyle w:val="Compact"/>
        <w:numPr>
          <w:ilvl w:val="0"/>
          <w:numId w:val="1015"/>
        </w:numPr>
      </w:pPr>
      <w:r>
        <w:t xml:space="preserve">Discover conversion timelines or synergy realization slip.</w:t>
      </w:r>
    </w:p>
    <w:p>
      <w:pPr>
        <w:pStyle w:val="Compact"/>
        <w:numPr>
          <w:ilvl w:val="0"/>
          <w:numId w:val="1015"/>
        </w:numPr>
      </w:pPr>
      <w:r>
        <w:t xml:space="preserve">Management tempers its normalized ROTCE commentary or slows buybacks substantially.</w:t>
      </w:r>
    </w:p>
    <w:p>
      <w:r>
        <w:pict>
          <v:rect style="width:0;height:1.5pt" o:hralign="center" o:hrstd="t" o:hr="t"/>
        </w:pict>
      </w:r>
    </w:p>
    <w:bookmarkEnd w:id="23"/>
    <w:bookmarkEnd w:id="24"/>
    <w:bookmarkStart w:id="25" w:name="questions-investors-need-answered"/>
    <w:p>
      <w:pPr>
        <w:pStyle w:val="Heading2"/>
      </w:pPr>
      <w:r>
        <w:t xml:space="preserve">Questions investors need answered</w:t>
      </w:r>
    </w:p>
    <w:p>
      <w:pPr>
        <w:pStyle w:val="Compact"/>
        <w:numPr>
          <w:ilvl w:val="0"/>
          <w:numId w:val="1016"/>
        </w:numPr>
      </w:pPr>
      <w:r>
        <w:rPr>
          <w:b/>
          <w:bCs/>
        </w:rPr>
        <w:t xml:space="preserve">How much did NIM recover from 7.87%, and how much excess cash remains?</w:t>
      </w:r>
    </w:p>
    <w:p>
      <w:pPr>
        <w:pStyle w:val="Compact"/>
        <w:numPr>
          <w:ilvl w:val="0"/>
          <w:numId w:val="1016"/>
        </w:numPr>
      </w:pPr>
      <w:r>
        <w:rPr>
          <w:b/>
          <w:bCs/>
        </w:rPr>
        <w:t xml:space="preserve">What were June card and auto charge-off and delinquency rates?</w:t>
      </w:r>
    </w:p>
    <w:p>
      <w:pPr>
        <w:pStyle w:val="Compact"/>
        <w:numPr>
          <w:ilvl w:val="0"/>
          <w:numId w:val="1016"/>
        </w:numPr>
      </w:pPr>
      <w:r>
        <w:rPr>
          <w:b/>
          <w:bCs/>
        </w:rPr>
        <w:t xml:space="preserve">How much of Q2 revenue came from debit-network synergies?</w:t>
      </w:r>
    </w:p>
    <w:p>
      <w:pPr>
        <w:pStyle w:val="Compact"/>
        <w:numPr>
          <w:ilvl w:val="0"/>
          <w:numId w:val="1016"/>
        </w:numPr>
      </w:pPr>
      <w:r>
        <w:rPr>
          <w:b/>
          <w:bCs/>
        </w:rPr>
        <w:t xml:space="preserve">Is the company still fully on track for $2.5 billion of Discover synergies by mid-2027?</w:t>
      </w:r>
    </w:p>
    <w:p>
      <w:pPr>
        <w:pStyle w:val="Compact"/>
        <w:numPr>
          <w:ilvl w:val="0"/>
          <w:numId w:val="1016"/>
        </w:numPr>
      </w:pPr>
      <w:r>
        <w:rPr>
          <w:b/>
          <w:bCs/>
        </w:rPr>
        <w:t xml:space="preserve">What is the expected quarterly expense trajectory through the completion of integration?</w:t>
      </w:r>
    </w:p>
    <w:p>
      <w:pPr>
        <w:pStyle w:val="Compact"/>
        <w:numPr>
          <w:ilvl w:val="0"/>
          <w:numId w:val="1016"/>
        </w:numPr>
      </w:pPr>
      <w:r>
        <w:rPr>
          <w:b/>
          <w:bCs/>
        </w:rPr>
        <w:t xml:space="preserve">What did Brex contribute to revenue and expense, and what purchase-accounting marks were recorded?</w:t>
      </w:r>
    </w:p>
    <w:p>
      <w:pPr>
        <w:pStyle w:val="Compact"/>
        <w:numPr>
          <w:ilvl w:val="0"/>
          <w:numId w:val="1016"/>
        </w:numPr>
      </w:pPr>
      <w:r>
        <w:rPr>
          <w:b/>
          <w:bCs/>
        </w:rPr>
        <w:t xml:space="preserve">How much of the Q2 expense increase is temporary integration cost versus ongoing investment?</w:t>
      </w:r>
    </w:p>
    <w:p>
      <w:pPr>
        <w:pStyle w:val="Compact"/>
        <w:numPr>
          <w:ilvl w:val="0"/>
          <w:numId w:val="1016"/>
        </w:numPr>
      </w:pPr>
      <w:r>
        <w:rPr>
          <w:b/>
          <w:bCs/>
        </w:rPr>
        <w:t xml:space="preserve">When should Discover’s card-loan “brownout” reach its worst point?</w:t>
      </w:r>
    </w:p>
    <w:p>
      <w:pPr>
        <w:pStyle w:val="Compact"/>
        <w:numPr>
          <w:ilvl w:val="0"/>
          <w:numId w:val="1016"/>
        </w:numPr>
      </w:pPr>
      <w:r>
        <w:rPr>
          <w:b/>
          <w:bCs/>
        </w:rPr>
        <w:t xml:space="preserve">What is management’s current view of the consumer following changes in energy prices and inflation?</w:t>
      </w:r>
    </w:p>
    <w:p>
      <w:pPr>
        <w:pStyle w:val="Compact"/>
        <w:numPr>
          <w:ilvl w:val="0"/>
          <w:numId w:val="1016"/>
        </w:numPr>
      </w:pPr>
      <w:r>
        <w:rPr>
          <w:b/>
          <w:bCs/>
        </w:rPr>
        <w:t xml:space="preserve">How should investors translate the post-integration “earnings power” commentary into an ROTCE or efficiency range?</w:t>
      </w:r>
    </w:p>
    <w:bookmarkEnd w:id="25"/>
    <w:bookmarkStart w:id="26" w:name="bottom-line"/>
    <w:p>
      <w:pPr>
        <w:pStyle w:val="Heading2"/>
      </w:pPr>
      <w:r>
        <w:t xml:space="preserve">Bottom line</w:t>
      </w:r>
    </w:p>
    <w:p>
      <w:pPr>
        <w:pStyle w:val="FirstParagraph"/>
      </w:pPr>
      <w:r>
        <w:t xml:space="preserve">The likely operating story is</w:t>
      </w:r>
      <w:r>
        <w:t xml:space="preserve"> </w:t>
      </w:r>
      <w:r>
        <w:rPr>
          <w:b/>
          <w:bCs/>
        </w:rPr>
        <w:t xml:space="preserve">better seasonal revenue and NIM, continued healthy card credit, and materially higher expenses</w:t>
      </w:r>
      <w:r>
        <w:t xml:space="preserve">. That could still produce a solid quarter, but the stock’s reaction will depend less on reported EPS than on whether management improves visibility into the post-integration earnings model.</w:t>
      </w:r>
    </w:p>
    <w:p>
      <w:pPr>
        <w:pStyle w:val="BodyText"/>
      </w:pPr>
      <w:r>
        <w:t xml:space="preserve">The cleanest positive signal would be a combination of</w:t>
      </w:r>
      <w:r>
        <w:t xml:space="preserve"> </w:t>
      </w:r>
      <w:r>
        <w:rPr>
          <w:b/>
          <w:bCs/>
        </w:rPr>
        <w:t xml:space="preserve">stable credit, sequential NIM expansion, controlled adjusted expenses, on-schedule Discover conversions, and a clearer bridge to normalized ROTCE</w:t>
      </w:r>
      <w:r>
        <w:t xml:space="preserve">. The principal risk is that Capital One continues to add attractive long-term investments faster than investors can see the resulting earnings power.</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2026-07-21T00:56:15Z</dcterms:created>
  <dcterms:modified xsi:type="dcterms:W3CDTF">2026-07-21T00:56:15Z</dcterms:modified>
</cp:coreProperties>
</file>

<file path=docProps/custom.xml><?xml version="1.0" encoding="utf-8"?>
<Properties xmlns="http://schemas.openxmlformats.org/officeDocument/2006/custom-properties" xmlns:vt="http://schemas.openxmlformats.org/officeDocument/2006/docPropsVTypes"/>
</file>