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9" w:name="X8ad786ebe274c7449b08b2e5458bf0fe1be3014"/>
    <w:p>
      <w:pPr>
        <w:pStyle w:val="Heading1"/>
      </w:pPr>
      <w:r>
        <w:t xml:space="preserve">Capital One Financial (NYSE: COF) — 2Q26 Earnings Preview</w:t>
      </w:r>
    </w:p>
    <w:p>
      <w:pPr>
        <w:pStyle w:val="BlockText"/>
      </w:pPr>
      <w:r>
        <w:rPr>
          <w:b/>
          <w:bCs/>
        </w:rPr>
        <w:t xml:space="preserve">Calendar note:</w:t>
      </w:r>
      <w:r>
        <w:t xml:space="preserve"> </w:t>
      </w:r>
      <w:r>
        <w:t xml:space="preserve">Today is</w:t>
      </w:r>
      <w:r>
        <w:t xml:space="preserve"> </w:t>
      </w:r>
      <w:r>
        <w:rPr>
          <w:b/>
          <w:bCs/>
        </w:rPr>
        <w:t xml:space="preserve">Tuesday, July 21, 2026</w:t>
      </w:r>
      <w:r>
        <w:t xml:space="preserve">; therefore, “tomorrow” is</w:t>
      </w:r>
      <w:r>
        <w:t xml:space="preserve"> </w:t>
      </w:r>
      <w:r>
        <w:rPr>
          <w:b/>
          <w:bCs/>
        </w:rPr>
        <w:t xml:space="preserve">Wednesday, July 22, 2026</w:t>
      </w:r>
      <w:r>
        <w:t xml:space="preserve">. The prompt lists the event date as July 21, so investors should confirm the company’s precise release and call timing. This preview addresses the upcoming</w:t>
      </w:r>
      <w:r>
        <w:t xml:space="preserve"> </w:t>
      </w:r>
      <w:r>
        <w:rPr>
          <w:b/>
          <w:bCs/>
        </w:rPr>
        <w:t xml:space="preserve">2Q26</w:t>
      </w:r>
      <w:r>
        <w:t xml:space="preserve"> </w:t>
      </w:r>
      <w:r>
        <w:t xml:space="preserve">report.</w:t>
      </w:r>
    </w:p>
    <w:bookmarkStart w:id="9" w:name="Xcda8e7c21febd989a880ce68a1bbb97777e2705"/>
    <w:p>
      <w:pPr>
        <w:pStyle w:val="Heading2"/>
      </w:pPr>
      <w:r>
        <w:t xml:space="preserve">Investment framing: the report is about execution, not just the quarterly EPS print</w:t>
      </w:r>
    </w:p>
    <w:p>
      <w:pPr>
        <w:pStyle w:val="FirstParagraph"/>
      </w:pPr>
      <w:r>
        <w:t xml:space="preserve">Capital One enters 2Q with credit holding up well, substantial Discover-related earnings power still to be realized, and a deliberately elevated investment agenda that will likely keep near-term expenses—and therefore the efficiency ratio—under scrutiny.</w:t>
      </w:r>
    </w:p>
    <w:p>
      <w:pPr>
        <w:pStyle w:val="BodyText"/>
      </w:pPr>
      <w:r>
        <w:t xml:space="preserve">The central question is whether the company can demonstrate that it is simultaneously: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Maintaining benign consumer credit trends;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Restoring NIM after first-quarter seasonality and excess liquidity;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Capturing Discover revenue synergies on schedule;</w:t>
      </w:r>
      <w:r>
        <w:t xml:space="preserve"> </w:t>
      </w:r>
      <w:r>
        <w:t xml:space="preserve">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Absorbing Brex, travel-platform insourcing, integration spending, and heavier marketing without diluting the promised post-integration return profile.</w:t>
      </w:r>
    </w:p>
    <w:p>
      <w:pPr>
        <w:pStyle w:val="FirstParagraph"/>
      </w:pPr>
      <w:r>
        <w:t xml:space="preserve">The setup is balanced. COF stock closed at</w:t>
      </w:r>
      <w:r>
        <w:t xml:space="preserve"> </w:t>
      </w:r>
      <w:r>
        <w:rPr>
          <w:b/>
          <w:bCs/>
        </w:rPr>
        <w:t xml:space="preserve">$206.81 on July 20</w:t>
      </w:r>
      <w:r>
        <w:t xml:space="preserve">, roughly flat versus $205.71 on April 20, after recovering from a June 3 low of $177.62. That price action suggests investors remain interested in the strategic upside but want more proof on the bridge from acquisition-related investment to durable earnings and returns.</w:t>
      </w:r>
    </w:p>
    <w:p>
      <w:r>
        <w:pict>
          <v:rect style="width:0;height:1.5pt" o:hralign="center" o:hrstd="t" o:hr="t"/>
        </w:pict>
      </w:r>
    </w:p>
    <w:bookmarkEnd w:id="9"/>
    <w:bookmarkStart w:id="14" w:name="what-matters-most-in-2q"/>
    <w:p>
      <w:pPr>
        <w:pStyle w:val="Heading2"/>
      </w:pPr>
      <w:r>
        <w:t xml:space="preserve">What matters most in 2Q</w:t>
      </w:r>
    </w:p>
    <w:bookmarkStart w:id="10" w:name="Xd91172ad5eacd59d6ae26b44a8edc5477c7c7bb"/>
    <w:p>
      <w:pPr>
        <w:pStyle w:val="Heading3"/>
      </w:pPr>
      <w:r>
        <w:t xml:space="preserve">1. Credit: confirmation that the favorable first-quarter trend is durable</w:t>
      </w:r>
    </w:p>
    <w:p>
      <w:pPr>
        <w:pStyle w:val="FirstParagraph"/>
      </w:pPr>
      <w:r>
        <w:t xml:space="preserve">Credit was the clearest positive in 1Q. Domestic Card net charge-offs were</w:t>
      </w:r>
      <w:r>
        <w:t xml:space="preserve"> </w:t>
      </w:r>
      <w:r>
        <w:rPr>
          <w:b/>
          <w:bCs/>
        </w:rPr>
        <w:t xml:space="preserve">5.10%</w:t>
      </w:r>
      <w:r>
        <w:t xml:space="preserve">, while 30+ day performing delinquencies fell</w:t>
      </w:r>
      <w:r>
        <w:t xml:space="preserve"> </w:t>
      </w:r>
      <w:r>
        <w:rPr>
          <w:b/>
          <w:bCs/>
        </w:rPr>
        <w:t xml:space="preserve">29 bps sequentially to 3.70%</w:t>
      </w:r>
      <w:r>
        <w:t xml:space="preserve">. Auto credit also improved sequentially: net charge-offs were</w:t>
      </w:r>
      <w:r>
        <w:t xml:space="preserve"> </w:t>
      </w:r>
      <w:r>
        <w:rPr>
          <w:b/>
          <w:bCs/>
        </w:rPr>
        <w:t xml:space="preserve">1.64%</w:t>
      </w:r>
      <w:r>
        <w:t xml:space="preserve"> </w:t>
      </w:r>
      <w:r>
        <w:t xml:space="preserve">and 30+ day performing delinquencies declined</w:t>
      </w:r>
      <w:r>
        <w:t xml:space="preserve"> </w:t>
      </w:r>
      <w:r>
        <w:rPr>
          <w:b/>
          <w:bCs/>
        </w:rPr>
        <w:t xml:space="preserve">102 bps to 4.21%</w:t>
      </w:r>
      <w:r>
        <w:t xml:space="preserve">.</w:t>
      </w:r>
    </w:p>
    <w:p>
      <w:pPr>
        <w:pStyle w:val="BodyText"/>
      </w:pPr>
      <w:r>
        <w:t xml:space="preserve">The May monthly disclosure was broadly constructive: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May 2026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Domestic card net charge-off rate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4.82%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Domestic card 30+ day performing delinquency rate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3.33%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Auto net charge-off rate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1.45%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Auto 30+ day performing delinquency rate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4.24%</w:t>
            </w:r>
          </w:p>
        </w:tc>
      </w:tr>
    </w:tbl>
    <w:p>
      <w:pPr>
        <w:pStyle w:val="BodyText"/>
      </w:pPr>
      <w:r>
        <w:t xml:space="preserve">These monthly metrics are not perfectly comparable with quarterly statistics, but they support the message that broad consumer credit had not visibly deteriorated through May.</w:t>
      </w:r>
    </w:p>
    <w:p>
      <w:pPr>
        <w:pStyle w:val="BodyText"/>
      </w:pPr>
      <w:r>
        <w:rPr>
          <w:b/>
          <w:bCs/>
        </w:rPr>
        <w:t xml:space="preserve">What investors should watch</w:t>
      </w:r>
    </w:p>
    <w:p>
      <w:pPr>
        <w:pStyle w:val="Compact"/>
        <w:numPr>
          <w:ilvl w:val="0"/>
          <w:numId w:val="1002"/>
        </w:numPr>
      </w:pPr>
      <w:r>
        <w:t xml:space="preserve">Domestic Card charge-offs and delinquencies versus normal second-quarter seasonal patterns.</w:t>
      </w:r>
    </w:p>
    <w:p>
      <w:pPr>
        <w:pStyle w:val="Compact"/>
        <w:numPr>
          <w:ilvl w:val="0"/>
          <w:numId w:val="1002"/>
        </w:numPr>
      </w:pPr>
      <w:r>
        <w:t xml:space="preserve">Whether Capital One repeats its assessment that the consumer remains resilient.</w:t>
      </w:r>
    </w:p>
    <w:p>
      <w:pPr>
        <w:pStyle w:val="Compact"/>
        <w:numPr>
          <w:ilvl w:val="0"/>
          <w:numId w:val="1002"/>
        </w:numPr>
      </w:pPr>
      <w:r>
        <w:t xml:space="preserve">The outlook for the allowance: 1Q provision was</w:t>
      </w:r>
      <w:r>
        <w:t xml:space="preserve"> </w:t>
      </w:r>
      <m:oMath>
        <m:r>
          <m:t>4.07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i</m:t>
        </m:r>
        <m:r>
          <m:t>n</m:t>
        </m:r>
        <m:r>
          <m:t>c</m:t>
        </m:r>
        <m:r>
          <m:t>l</m:t>
        </m:r>
        <m:r>
          <m:t>u</m:t>
        </m:r>
        <m:r>
          <m:t>d</m:t>
        </m:r>
        <m:r>
          <m:t>i</m:t>
        </m:r>
        <m:r>
          <m:t>n</m:t>
        </m:r>
        <m:r>
          <m:t>g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3.85 billion</w:t>
      </w:r>
      <w:r>
        <w:t xml:space="preserve"> </w:t>
      </w:r>
      <w:r>
        <w:t xml:space="preserve">of net charge-offs and a</w:t>
      </w:r>
      <w:r>
        <w:t xml:space="preserve"> </w:t>
      </w:r>
      <w:r>
        <w:rPr>
          <w:b/>
          <w:bCs/>
        </w:rPr>
        <w:t xml:space="preserve">$230 million reserve build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Auto performance, particularly given continued originations and a modestly lower-quality mix in recent growth.</w:t>
      </w:r>
    </w:p>
    <w:p>
      <w:pPr>
        <w:pStyle w:val="Compact"/>
        <w:numPr>
          <w:ilvl w:val="0"/>
          <w:numId w:val="1002"/>
        </w:numPr>
      </w:pPr>
      <w:r>
        <w:t xml:space="preserve">Commercial criticized loans and reserves. Commercial provision rose to</w:t>
      </w:r>
      <w:r>
        <w:t xml:space="preserve"> </w:t>
      </w:r>
      <w:r>
        <w:rPr>
          <w:b/>
          <w:bCs/>
        </w:rPr>
        <w:t xml:space="preserve">$138 million</w:t>
      </w:r>
      <w:r>
        <w:t xml:space="preserve"> </w:t>
      </w:r>
      <w:r>
        <w:t xml:space="preserve">in 1Q, with management attributing the reserve build to a small number of specific credits and a higher criticized-loan rate.</w:t>
      </w:r>
    </w:p>
    <w:p>
      <w:pPr>
        <w:pStyle w:val="FirstParagraph"/>
      </w:pPr>
      <w:r>
        <w:rPr>
          <w:b/>
          <w:bCs/>
        </w:rPr>
        <w:t xml:space="preserve">Read-through:</w:t>
      </w:r>
      <w:r>
        <w:t xml:space="preserve"> </w:t>
      </w:r>
      <w:r>
        <w:t xml:space="preserve">Stable-to-improving credit would support the earnings-power narrative; a reserve build driven by macro caution rather than actual deterioration would be less concerning than renewed adverse delinquency migration.</w:t>
      </w:r>
    </w:p>
    <w:p>
      <w:r>
        <w:pict>
          <v:rect style="width:0;height:1.5pt" o:hralign="center" o:hrstd="t" o:hr="t"/>
        </w:pict>
      </w:r>
    </w:p>
    <w:bookmarkEnd w:id="10"/>
    <w:bookmarkStart w:id="11" w:name="X527a453c816e84fe8c90378e174ea300b5f390f"/>
    <w:p>
      <w:pPr>
        <w:pStyle w:val="Heading3"/>
      </w:pPr>
      <w:r>
        <w:t xml:space="preserve">2. NIM: does first-quarter compression begin to reverse?</w:t>
      </w:r>
    </w:p>
    <w:p>
      <w:pPr>
        <w:pStyle w:val="FirstParagraph"/>
      </w:pPr>
      <w:r>
        <w:t xml:space="preserve">COF’s 1Q net interest margin was</w:t>
      </w:r>
      <w:r>
        <w:t xml:space="preserve"> </w:t>
      </w:r>
      <w:r>
        <w:rPr>
          <w:b/>
          <w:bCs/>
        </w:rPr>
        <w:t xml:space="preserve">7.87%</w:t>
      </w:r>
      <w:r>
        <w:t xml:space="preserve">, down</w:t>
      </w:r>
      <w:r>
        <w:t xml:space="preserve"> </w:t>
      </w:r>
      <w:r>
        <w:rPr>
          <w:b/>
          <w:bCs/>
        </w:rPr>
        <w:t xml:space="preserve">39 bps sequentially</w:t>
      </w:r>
      <w:r>
        <w:t xml:space="preserve">. Management attributed the decline to:</w:t>
      </w:r>
    </w:p>
    <w:p>
      <w:pPr>
        <w:pStyle w:val="Compact"/>
        <w:numPr>
          <w:ilvl w:val="0"/>
          <w:numId w:val="1003"/>
        </w:numPr>
      </w:pPr>
      <w:r>
        <w:t xml:space="preserve">Two fewer calendar days in 1Q;</w:t>
      </w:r>
    </w:p>
    <w:p>
      <w:pPr>
        <w:pStyle w:val="Compact"/>
        <w:numPr>
          <w:ilvl w:val="0"/>
          <w:numId w:val="1003"/>
        </w:numPr>
      </w:pPr>
      <w:r>
        <w:t xml:space="preserve">Seasonal paydown of higher-yielding card balances;</w:t>
      </w:r>
    </w:p>
    <w:p>
      <w:pPr>
        <w:pStyle w:val="Compact"/>
        <w:numPr>
          <w:ilvl w:val="0"/>
          <w:numId w:val="1003"/>
        </w:numPr>
      </w:pPr>
      <w:r>
        <w:t xml:space="preserve">Elevated lower-yielding cash; and</w:t>
      </w:r>
    </w:p>
    <w:p>
      <w:pPr>
        <w:pStyle w:val="Compact"/>
        <w:numPr>
          <w:ilvl w:val="0"/>
          <w:numId w:val="1003"/>
        </w:numPr>
      </w:pPr>
      <w:r>
        <w:t xml:space="preserve">Strong deposit inflows and the full-quarter effect of the Discover home-loan portfolio sale.</w:t>
      </w:r>
    </w:p>
    <w:p>
      <w:pPr>
        <w:pStyle w:val="FirstParagraph"/>
      </w:pPr>
      <w:r>
        <w:t xml:space="preserve">Management expects cash to trend down as seasonal factors normalize, supported by approximately</w:t>
      </w:r>
      <w:r>
        <w:t xml:space="preserve"> </w:t>
      </w:r>
      <w:r>
        <w:rPr>
          <w:b/>
          <w:bCs/>
        </w:rPr>
        <w:t xml:space="preserve">$8 billion of 2Q debt maturities</w:t>
      </w:r>
      <w:r>
        <w:t xml:space="preserve"> </w:t>
      </w:r>
      <w:r>
        <w:t xml:space="preserve">and tax payments. It also characterized the second half of 2025 NIM level as a reasonable indication of the post-Discover “structural” margin, absent a material change in balance-sheet mix.</w:t>
      </w:r>
    </w:p>
    <w:p>
      <w:pPr>
        <w:pStyle w:val="BodyText"/>
      </w:pPr>
      <w:r>
        <w:rPr>
          <w:b/>
          <w:bCs/>
        </w:rPr>
        <w:t xml:space="preserve">Why this is important:</w:t>
      </w:r>
      <w:r>
        <w:t xml:space="preserve"> </w:t>
      </w:r>
      <w:r>
        <w:t xml:space="preserve">A sequential NIM recovery would help validate that 1Q was largely a calendar/seasonality/liquidity event rather than a structural earnings problem. A weak rebound would sharpen investor concern around loan yields, deposit costs, excess liquidity, and the mix effects of Discover.</w:t>
      </w:r>
    </w:p>
    <w:p>
      <w:pPr>
        <w:pStyle w:val="BodyText"/>
      </w:pPr>
      <w:r>
        <w:rPr>
          <w:b/>
          <w:bCs/>
        </w:rPr>
        <w:t xml:space="preserve">Key data points</w:t>
      </w:r>
    </w:p>
    <w:p>
      <w:pPr>
        <w:pStyle w:val="Compact"/>
        <w:numPr>
          <w:ilvl w:val="0"/>
          <w:numId w:val="1004"/>
        </w:numPr>
      </w:pPr>
      <w:r>
        <w:t xml:space="preserve">Net interest income and NIM;</w:t>
      </w:r>
    </w:p>
    <w:p>
      <w:pPr>
        <w:pStyle w:val="Compact"/>
        <w:numPr>
          <w:ilvl w:val="0"/>
          <w:numId w:val="1004"/>
        </w:numPr>
      </w:pPr>
      <w:r>
        <w:t xml:space="preserve">Average card balances and purchase volume;</w:t>
      </w:r>
    </w:p>
    <w:p>
      <w:pPr>
        <w:pStyle w:val="Compact"/>
        <w:numPr>
          <w:ilvl w:val="0"/>
          <w:numId w:val="1004"/>
        </w:numPr>
      </w:pPr>
      <w:r>
        <w:t xml:space="preserve">Cash and liquidity levels;</w:t>
      </w:r>
    </w:p>
    <w:p>
      <w:pPr>
        <w:pStyle w:val="Compact"/>
        <w:numPr>
          <w:ilvl w:val="0"/>
          <w:numId w:val="1004"/>
        </w:numPr>
      </w:pPr>
      <w:r>
        <w:t xml:space="preserve">Deposit growth and the interest-bearing deposit rate;</w:t>
      </w:r>
    </w:p>
    <w:p>
      <w:pPr>
        <w:pStyle w:val="Compact"/>
        <w:numPr>
          <w:ilvl w:val="0"/>
          <w:numId w:val="1004"/>
        </w:numPr>
      </w:pPr>
      <w:r>
        <w:t xml:space="preserve">Commentary on the post-Discover structural NIM level.</w:t>
      </w:r>
    </w:p>
    <w:p>
      <w:r>
        <w:pict>
          <v:rect style="width:0;height:1.5pt" o:hralign="center" o:hrstd="t" o:hr="t"/>
        </w:pict>
      </w:r>
    </w:p>
    <w:bookmarkEnd w:id="11"/>
    <w:bookmarkStart w:id="12" w:name="X66857666d28650f2d386b1befa157fd0e418721"/>
    <w:p>
      <w:pPr>
        <w:pStyle w:val="Heading3"/>
      </w:pPr>
      <w:r>
        <w:t xml:space="preserve">3. Discover: revenue synergies should be more visible; expense synergies remain later-dated</w:t>
      </w:r>
    </w:p>
    <w:p>
      <w:pPr>
        <w:pStyle w:val="FirstParagraph"/>
      </w:pPr>
      <w:r>
        <w:t xml:space="preserve">Discover is the core strategic driver, but the integration timeline matters more than the headline acquisition logic in this report.</w:t>
      </w:r>
    </w:p>
    <w:p>
      <w:pPr>
        <w:pStyle w:val="BodyText"/>
      </w:pPr>
      <w:r>
        <w:t xml:space="preserve">In 1Q, Capital One said:</w:t>
      </w:r>
    </w:p>
    <w:p>
      <w:pPr>
        <w:pStyle w:val="Compact"/>
        <w:numPr>
          <w:ilvl w:val="0"/>
          <w:numId w:val="1005"/>
        </w:numPr>
      </w:pPr>
      <w:r>
        <w:t xml:space="preserve">The conversion of Capital One debit customers to the Discover network was substantially completed.</w:t>
      </w:r>
    </w:p>
    <w:p>
      <w:pPr>
        <w:pStyle w:val="Compact"/>
        <w:numPr>
          <w:ilvl w:val="0"/>
          <w:numId w:val="1005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full quarter of debit-related revenue synergies</w:t>
      </w:r>
      <w:r>
        <w:t xml:space="preserve"> </w:t>
      </w:r>
      <w:r>
        <w:t xml:space="preserve">should be visible in 2Q.</w:t>
      </w:r>
    </w:p>
    <w:p>
      <w:pPr>
        <w:pStyle w:val="Compact"/>
        <w:numPr>
          <w:ilvl w:val="0"/>
          <w:numId w:val="1005"/>
        </w:numPr>
      </w:pPr>
      <w:r>
        <w:t xml:space="preserve">Discover-branded new-account originations are expected to be fully transitioned onto Capital One’s platform by the end of</w:t>
      </w:r>
      <w:r>
        <w:t xml:space="preserve"> </w:t>
      </w:r>
      <w:r>
        <w:rPr>
          <w:b/>
          <w:bCs/>
        </w:rPr>
        <w:t xml:space="preserve">3Q26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The existing Discover card portfolio is expected to move onto Capital One’s platform through a phased conversion beginning late 2026 and extending into</w:t>
      </w:r>
      <w:r>
        <w:t xml:space="preserve"> </w:t>
      </w:r>
      <w:r>
        <w:rPr>
          <w:b/>
          <w:bCs/>
        </w:rPr>
        <w:t xml:space="preserve">1Q27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Expense synergies are more back-end loaded because they depend on technology conversion and application/process decommissioning.</w:t>
      </w:r>
    </w:p>
    <w:p>
      <w:pPr>
        <w:pStyle w:val="Compact"/>
        <w:numPr>
          <w:ilvl w:val="0"/>
          <w:numId w:val="1005"/>
        </w:numPr>
      </w:pPr>
      <w:r>
        <w:t xml:space="preserve">Management remains confident in achieving the full</w:t>
      </w:r>
      <w:r>
        <w:t xml:space="preserve"> </w:t>
      </w:r>
      <w:r>
        <w:rPr>
          <w:b/>
          <w:bCs/>
        </w:rPr>
        <w:t xml:space="preserve">$2.5 billion</w:t>
      </w:r>
      <w:r>
        <w:t xml:space="preserve"> </w:t>
      </w:r>
      <w:r>
        <w:t xml:space="preserve">of Discover synergies by the middle of 2027.</w:t>
      </w:r>
    </w:p>
    <w:p>
      <w:pPr>
        <w:pStyle w:val="FirstParagraph"/>
      </w:pPr>
      <w:r>
        <w:t xml:space="preserve">The near-term tradeoff is that the Discover card book remains in a temporary “brownout.” Management said legacy Discover card balances were down</w:t>
      </w:r>
      <w:r>
        <w:t xml:space="preserve"> </w:t>
      </w:r>
      <w:r>
        <w:rPr>
          <w:b/>
          <w:bCs/>
        </w:rPr>
        <w:t xml:space="preserve">1.2% year over year</w:t>
      </w:r>
      <w:r>
        <w:t xml:space="preserve"> </w:t>
      </w:r>
      <w:r>
        <w:t xml:space="preserve">in 1Q because prior underwriting pullbacks and ongoing credit-policy adjustments are still working through the portfolio. That is credit-positive today but a headwind to near-term loan growth.</w:t>
      </w:r>
    </w:p>
    <w:p>
      <w:pPr>
        <w:pStyle w:val="BodyText"/>
      </w:pPr>
      <w:r>
        <w:rPr>
          <w:b/>
          <w:bCs/>
        </w:rPr>
        <w:t xml:space="preserve">What to listen for</w:t>
      </w:r>
    </w:p>
    <w:p>
      <w:pPr>
        <w:pStyle w:val="Compact"/>
        <w:numPr>
          <w:ilvl w:val="0"/>
          <w:numId w:val="1006"/>
        </w:numPr>
      </w:pPr>
      <w:r>
        <w:t xml:space="preserve">Quantification of realized revenue and expense synergies;</w:t>
      </w:r>
    </w:p>
    <w:p>
      <w:pPr>
        <w:pStyle w:val="Compact"/>
        <w:numPr>
          <w:ilvl w:val="0"/>
          <w:numId w:val="1006"/>
        </w:numPr>
      </w:pPr>
      <w:r>
        <w:t xml:space="preserve">Progress in migrating originations, accounts, and Capital One credit issuance to the Discover network;</w:t>
      </w:r>
    </w:p>
    <w:p>
      <w:pPr>
        <w:pStyle w:val="Compact"/>
        <w:numPr>
          <w:ilvl w:val="0"/>
          <w:numId w:val="1006"/>
        </w:numPr>
      </w:pPr>
      <w:r>
        <w:t xml:space="preserve">Any revision to the integration timeline or the $2.5 billion synergy target;</w:t>
      </w:r>
    </w:p>
    <w:p>
      <w:pPr>
        <w:pStyle w:val="Compact"/>
        <w:numPr>
          <w:ilvl w:val="0"/>
          <w:numId w:val="1006"/>
        </w:numPr>
      </w:pPr>
      <w:r>
        <w:t xml:space="preserve">The pace and expected duration of the Discover loan-growth brownout;</w:t>
      </w:r>
    </w:p>
    <w:p>
      <w:pPr>
        <w:pStyle w:val="Compact"/>
        <w:numPr>
          <w:ilvl w:val="0"/>
          <w:numId w:val="1006"/>
        </w:numPr>
      </w:pPr>
      <w:r>
        <w:t xml:space="preserve">Network acceptance, particularly international acceptance, and indications that the payment-network flywheel is beginning to build.</w:t>
      </w:r>
    </w:p>
    <w:p>
      <w:r>
        <w:pict>
          <v:rect style="width:0;height:1.5pt" o:hralign="center" o:hrstd="t" o:hr="t"/>
        </w:pict>
      </w:r>
    </w:p>
    <w:bookmarkEnd w:id="12"/>
    <w:bookmarkStart w:id="13" w:name="Xd220dd8420bd3d0fefdcf349c2865fa14fb75c1"/>
    <w:p>
      <w:pPr>
        <w:pStyle w:val="Heading3"/>
      </w:pPr>
      <w:r>
        <w:t xml:space="preserve">4. Expenses: expect investment to remain the debate</w:t>
      </w:r>
    </w:p>
    <w:p>
      <w:pPr>
        <w:pStyle w:val="FirstParagraph"/>
      </w:pPr>
      <w:r>
        <w:t xml:space="preserve">Reported 1Q non-interest expense fell 9% sequentially to</w:t>
      </w:r>
      <w:r>
        <w:t xml:space="preserve"> </w:t>
      </w:r>
      <m:oMath>
        <m:r>
          <m:t>8.46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b</m:t>
        </m:r>
        <m:r>
          <m:t>u</m:t>
        </m:r>
        <m:r>
          <m:t>t</m:t>
        </m:r>
        <m:r>
          <m:t>t</m:t>
        </m:r>
        <m:r>
          <m:t>h</m:t>
        </m:r>
        <m:r>
          <m:t>a</m:t>
        </m:r>
        <m:r>
          <m:t>t</m:t>
        </m:r>
        <m:r>
          <m:t>d</m:t>
        </m:r>
        <m:r>
          <m:t>e</m:t>
        </m:r>
        <m:r>
          <m:t>c</m:t>
        </m:r>
        <m:r>
          <m:t>l</m:t>
        </m:r>
        <m:r>
          <m:t>i</m:t>
        </m:r>
        <m:r>
          <m:t>n</m:t>
        </m:r>
        <m:r>
          <m:t>e</m:t>
        </m:r>
        <m:r>
          <m:t>w</m:t>
        </m:r>
        <m:r>
          <m:t>a</m:t>
        </m:r>
        <m:r>
          <m:t>s</m:t>
        </m:r>
        <m:r>
          <m:t>h</m:t>
        </m:r>
        <m:r>
          <m:t>e</m:t>
        </m:r>
        <m:r>
          <m:t>l</m:t>
        </m:r>
        <m:r>
          <m:t>p</m:t>
        </m:r>
        <m:r>
          <m:t>e</m:t>
        </m:r>
        <m:r>
          <m:t>d</m:t>
        </m:r>
        <m:r>
          <m:t>b</m:t>
        </m:r>
        <m:r>
          <m:t>y</m:t>
        </m:r>
        <m:r>
          <m:t>s</m:t>
        </m:r>
        <m:r>
          <m:t>e</m:t>
        </m:r>
        <m:r>
          <m:t>a</m:t>
        </m:r>
        <m:r>
          <m:t>s</m:t>
        </m:r>
        <m:r>
          <m:t>o</m:t>
        </m:r>
        <m:r>
          <m:t>n</m:t>
        </m:r>
        <m:r>
          <m:t>a</m:t>
        </m:r>
        <m:r>
          <m:t>l</m:t>
        </m:r>
        <m:r>
          <m:t>l</m:t>
        </m:r>
        <m:r>
          <m:t>y</m:t>
        </m:r>
        <m:r>
          <m:t>l</m:t>
        </m:r>
        <m:r>
          <m:t>o</m:t>
        </m:r>
        <m:r>
          <m:t>w</m:t>
        </m:r>
        <m:r>
          <m:t>e</m:t>
        </m:r>
        <m:r>
          <m:t>r</m:t>
        </m:r>
        <m:r>
          <m:t>m</m:t>
        </m:r>
        <m:r>
          <m:t>a</m:t>
        </m:r>
        <m:r>
          <m:t>r</m:t>
        </m:r>
        <m:r>
          <m:t>k</m:t>
        </m:r>
        <m:r>
          <m:t>e</m:t>
        </m:r>
        <m:r>
          <m:t>t</m:t>
        </m:r>
        <m:r>
          <m:t>i</m:t>
        </m:r>
        <m:r>
          <m:t>n</m:t>
        </m:r>
        <m:r>
          <m:t>g</m:t>
        </m:r>
        <m:r>
          <m:rPr>
            <m:sty m:val="p"/>
          </m:rPr>
          <m:t>.</m:t>
        </m:r>
        <m:r>
          <m:t>M</m:t>
        </m:r>
        <m:r>
          <m:t>a</m:t>
        </m:r>
        <m:r>
          <m:t>r</m:t>
        </m:r>
        <m:r>
          <m:t>k</m:t>
        </m:r>
        <m:r>
          <m:t>e</m:t>
        </m:r>
        <m:r>
          <m:t>t</m:t>
        </m:r>
        <m:r>
          <m:t>i</m:t>
        </m:r>
        <m:r>
          <m:t>n</m:t>
        </m:r>
        <m:r>
          <m:t>g</m:t>
        </m:r>
        <m:r>
          <m:t>e</m:t>
        </m:r>
        <m:r>
          <m:t>x</m:t>
        </m:r>
        <m:r>
          <m:t>p</m:t>
        </m:r>
        <m:r>
          <m:t>e</m:t>
        </m:r>
        <m:r>
          <m:t>n</m:t>
        </m:r>
        <m:r>
          <m:t>s</m:t>
        </m:r>
        <m:r>
          <m:t>e</m:t>
        </m:r>
        <m:r>
          <m:t>w</m:t>
        </m:r>
        <m:r>
          <m:t>a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1.50 billion</w:t>
      </w:r>
      <w:r>
        <w:t xml:space="preserve">, down 23% sequentially, and management explicitly said some planned spending shifted from 1Q into 2Q and subsequent quarters.</w:t>
      </w:r>
    </w:p>
    <w:p>
      <w:pPr>
        <w:pStyle w:val="BodyText"/>
      </w:pPr>
      <w:r>
        <w:t xml:space="preserve">That implies the market should not extrapolate 1Q’s expense decline. The 2Q run-rate will include:</w:t>
      </w:r>
    </w:p>
    <w:p>
      <w:pPr>
        <w:pStyle w:val="Compact"/>
        <w:numPr>
          <w:ilvl w:val="0"/>
          <w:numId w:val="1007"/>
        </w:numPr>
      </w:pPr>
      <w:r>
        <w:t xml:space="preserve">Heavier card and consumer-banking marketing;</w:t>
      </w:r>
    </w:p>
    <w:p>
      <w:pPr>
        <w:pStyle w:val="Compact"/>
        <w:numPr>
          <w:ilvl w:val="0"/>
          <w:numId w:val="1007"/>
        </w:numPr>
      </w:pPr>
      <w:r>
        <w:t xml:space="preserve">Ongoing Discover integration spending;</w:t>
      </w:r>
    </w:p>
    <w:p>
      <w:pPr>
        <w:pStyle w:val="Compact"/>
        <w:numPr>
          <w:ilvl w:val="0"/>
          <w:numId w:val="1007"/>
        </w:numPr>
      </w:pPr>
      <w:r>
        <w:t xml:space="preserve">Brex, which closed shortly after quarter-end on</w:t>
      </w:r>
      <w:r>
        <w:t xml:space="preserve"> </w:t>
      </w:r>
      <w:r>
        <w:rPr>
          <w:b/>
          <w:bCs/>
        </w:rPr>
        <w:t xml:space="preserve">April 7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The newly in-sourced travel technology and team; and</w:t>
      </w:r>
    </w:p>
    <w:p>
      <w:pPr>
        <w:pStyle w:val="Compact"/>
        <w:numPr>
          <w:ilvl w:val="0"/>
          <w:numId w:val="1007"/>
        </w:numPr>
      </w:pPr>
      <w:r>
        <w:t xml:space="preserve">Continued AI, cloud/data, network, premium-card, and national consumer-banking investments.</w:t>
      </w:r>
    </w:p>
    <w:p>
      <w:pPr>
        <w:pStyle w:val="FirstParagraph"/>
      </w:pPr>
      <w:r>
        <w:t xml:space="preserve">In 1Q, Discover amortization expense was</w:t>
      </w:r>
      <w:r>
        <w:t xml:space="preserve"> </w:t>
      </w:r>
      <m:oMath>
        <m:r>
          <m:t>477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t>D</m:t>
        </m:r>
        <m:r>
          <m:t>i</m:t>
        </m:r>
        <m:r>
          <m:t>s</m:t>
        </m:r>
        <m:r>
          <m:t>c</m:t>
        </m:r>
        <m:r>
          <m:t>o</m:t>
        </m:r>
        <m:r>
          <m:t>v</m:t>
        </m:r>
        <m:r>
          <m:t>e</m:t>
        </m:r>
        <m:r>
          <m:t>r</m:t>
        </m:r>
        <m:r>
          <m:t>i</m:t>
        </m:r>
        <m:r>
          <m:t>n</m:t>
        </m:r>
        <m:r>
          <m:t>t</m:t>
        </m:r>
        <m:r>
          <m:t>e</m:t>
        </m:r>
        <m:r>
          <m:t>g</m:t>
        </m:r>
        <m:r>
          <m:t>r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e</m:t>
        </m:r>
        <m:r>
          <m:t>x</m:t>
        </m:r>
        <m:r>
          <m:t>p</m:t>
        </m:r>
        <m:r>
          <m:t>e</m:t>
        </m:r>
        <m:r>
          <m:t>n</m:t>
        </m:r>
        <m:r>
          <m:t>s</m:t>
        </m:r>
        <m:r>
          <m:t>e</m:t>
        </m:r>
        <m:r>
          <m:t>w</m:t>
        </m:r>
        <m:r>
          <m:t>a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415 million</w:t>
      </w:r>
      <w:r>
        <w:t xml:space="preserve">, collectively reducing GAAP EPS by</w:t>
      </w:r>
      <w:r>
        <w:t xml:space="preserve"> </w:t>
      </w:r>
      <m:oMath>
        <m:r>
          <m:t>1.08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.</m:t>
        </m:r>
        <m:r>
          <m:t>C</m:t>
        </m:r>
        <m:r>
          <m:t>O</m:t>
        </m:r>
        <m:r>
          <m:t>F</m:t>
        </m:r>
        <m:r>
          <m:t>r</m:t>
        </m:r>
        <m:r>
          <m:t>e</m:t>
        </m:r>
        <m:r>
          <m:t>p</m:t>
        </m:r>
        <m:r>
          <m:t>o</m:t>
        </m:r>
        <m:r>
          <m:t>r</m:t>
        </m:r>
        <m:r>
          <m:t>t</m:t>
        </m:r>
        <m:r>
          <m:t>e</m:t>
        </m:r>
        <m:r>
          <m:t>d</m:t>
        </m:r>
        <m:r>
          <m:t>G</m:t>
        </m:r>
        <m:r>
          <m:t>A</m:t>
        </m:r>
        <m:r>
          <m:t>A</m:t>
        </m:r>
        <m:r>
          <m:t>P</m:t>
        </m:r>
        <m:r>
          <m:t>E</m:t>
        </m:r>
        <m:r>
          <m:t>P</m:t>
        </m:r>
        <m:r>
          <m:t>S</m:t>
        </m:r>
        <m:r>
          <m:t>o</m:t>
        </m:r>
        <m:r>
          <m:t>f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3.34</w:t>
      </w:r>
      <w:r>
        <w:t xml:space="preserve"> </w:t>
      </w:r>
      <w:r>
        <w:t xml:space="preserve">and adjusted EPS of</w:t>
      </w:r>
      <w:r>
        <w:t xml:space="preserve"> </w:t>
      </w:r>
      <w:r>
        <w:rPr>
          <w:b/>
          <w:bCs/>
        </w:rPr>
        <w:t xml:space="preserve">$4.42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The implication:</w:t>
      </w:r>
      <w:r>
        <w:t xml:space="preserve"> </w:t>
      </w:r>
      <w:r>
        <w:t xml:space="preserve">Investors should focus less on a single GAAP EPS outcome and more on adjusted pre-provision earnings, adjusted efficiency, integration costs, and the credibility of management’s statement that post-Discover-integration earnings power remains consistent with the original deal model—even after incorporating Brex and the travel investment.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5" w:name="operating-dashboard"/>
    <w:p>
      <w:pPr>
        <w:pStyle w:val="Heading2"/>
      </w:pPr>
      <w:r>
        <w:t xml:space="preserve">Operating dashboard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1Q26</w:t>
            </w:r>
          </w:p>
        </w:tc>
        <w:tc>
          <w:tcPr/>
          <w:p>
            <w:pPr>
              <w:pStyle w:val="Compact"/>
            </w:pPr>
            <w:r>
              <w:t xml:space="preserve">Why it matters for 2Q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GAAP diluted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$3.34</w:t>
            </w:r>
          </w:p>
        </w:tc>
        <w:tc>
          <w:tcPr/>
          <w:p>
            <w:pPr>
              <w:pStyle w:val="Compact"/>
            </w:pPr>
            <w:r>
              <w:t xml:space="preserve">Affected materially by Discover amortization and integration costs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$4.42</w:t>
            </w:r>
          </w:p>
        </w:tc>
        <w:tc>
          <w:tcPr/>
          <w:p>
            <w:pPr>
              <w:pStyle w:val="Compact"/>
            </w:pPr>
            <w:r>
              <w:t xml:space="preserve">Better indicator of underlying operating earnings, though still non-GAAP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net 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$15.23B</w:t>
            </w:r>
          </w:p>
        </w:tc>
        <w:tc>
          <w:tcPr/>
          <w:p>
            <w:pPr>
              <w:pStyle w:val="Compact"/>
            </w:pPr>
            <w:r>
              <w:t xml:space="preserve">Tests NIM recovery and payment/loan activity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interest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7.87%</w:t>
            </w:r>
          </w:p>
        </w:tc>
        <w:tc>
          <w:tcPr/>
          <w:p>
            <w:pPr>
              <w:pStyle w:val="Compact"/>
            </w:pPr>
            <w:r>
              <w:t xml:space="preserve">Key proof point on normalization of liquidity and seasonality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Provision for credit losses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$4.07B</w:t>
            </w:r>
          </w:p>
        </w:tc>
        <w:tc>
          <w:tcPr/>
          <w:p>
            <w:pPr>
              <w:pStyle w:val="Compact"/>
            </w:pPr>
            <w:r>
              <w:t xml:space="preserve">Sensitivity to consumer credit and reserve posture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Domestic Card NCO rate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5.10%</w:t>
            </w:r>
          </w:p>
        </w:tc>
        <w:tc>
          <w:tcPr/>
          <w:p>
            <w:pPr>
              <w:pStyle w:val="Compact"/>
            </w:pPr>
            <w:r>
              <w:t xml:space="preserve">Primary consumer-credit signal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Domestic Card 30+ day delinquency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3.70%</w:t>
            </w:r>
          </w:p>
        </w:tc>
        <w:tc>
          <w:tcPr/>
          <w:p>
            <w:pPr>
              <w:pStyle w:val="Compact"/>
            </w:pPr>
            <w:r>
              <w:t xml:space="preserve">Forward indicator for losses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deposits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$489.1B</w:t>
            </w:r>
          </w:p>
        </w:tc>
        <w:tc>
          <w:tcPr/>
          <w:p>
            <w:pPr>
              <w:pStyle w:val="Compact"/>
            </w:pPr>
            <w:r>
              <w:t xml:space="preserve">Funding strength, but excess deposits/cash can pressure NIM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CET1 ratio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14.4%</w:t>
            </w:r>
          </w:p>
        </w:tc>
        <w:tc>
          <w:tcPr/>
          <w:p>
            <w:pPr>
              <w:pStyle w:val="Compact"/>
            </w:pPr>
            <w:r>
              <w:t xml:space="preserve">Strong capital position; Brex expected to reduce it by slightly more than 40 bps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Share repurchases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$2.5B in 1Q</w:t>
            </w:r>
          </w:p>
        </w:tc>
        <w:tc>
          <w:tcPr/>
          <w:p>
            <w:pPr>
              <w:pStyle w:val="Compact"/>
            </w:pPr>
            <w:r>
              <w:t xml:space="preserve">Capital-return pace remains a valuation and confidence variable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5"/>
    <w:bookmarkStart w:id="16" w:name="catalysts-for-a-positive-reaction"/>
    <w:p>
      <w:pPr>
        <w:pStyle w:val="Heading2"/>
      </w:pPr>
      <w:r>
        <w:t xml:space="preserve">Catalysts for a positive reaction</w:t>
      </w:r>
    </w:p>
    <w:p>
      <w:pPr>
        <w:pStyle w:val="FirstParagraph"/>
      </w:pPr>
      <w:r>
        <w:t xml:space="preserve">A constructive report would likely include several of the following: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Credit at or better than seasonal expectations</w:t>
      </w:r>
      <w:r>
        <w:t xml:space="preserve">, especially in Domestic Card and auto;</w:t>
      </w:r>
    </w:p>
    <w:p>
      <w:pPr>
        <w:pStyle w:val="Compact"/>
        <w:numPr>
          <w:ilvl w:val="0"/>
          <w:numId w:val="1008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clear sequential improvement in NIM</w:t>
      </w:r>
      <w:r>
        <w:t xml:space="preserve"> </w:t>
      </w:r>
      <w:r>
        <w:t xml:space="preserve">as cash normalizes;</w:t>
      </w:r>
    </w:p>
    <w:p>
      <w:pPr>
        <w:pStyle w:val="Compact"/>
        <w:numPr>
          <w:ilvl w:val="0"/>
          <w:numId w:val="1008"/>
        </w:numPr>
      </w:pPr>
      <w:r>
        <w:t xml:space="preserve">Evidence that debit conversion is delivering the expected Discover network revenue synergy;</w:t>
      </w:r>
    </w:p>
    <w:p>
      <w:pPr>
        <w:pStyle w:val="Compact"/>
        <w:numPr>
          <w:ilvl w:val="0"/>
          <w:numId w:val="1008"/>
        </w:numPr>
      </w:pPr>
      <w:r>
        <w:t xml:space="preserve">Continued confidence in the</w:t>
      </w:r>
      <w:r>
        <w:t xml:space="preserve"> </w:t>
      </w:r>
      <w:r>
        <w:rPr>
          <w:b/>
          <w:bCs/>
        </w:rPr>
        <w:t xml:space="preserve">$2.5 billion</w:t>
      </w:r>
      <w:r>
        <w:t xml:space="preserve"> </w:t>
      </w:r>
      <w:r>
        <w:t xml:space="preserve">total synergy target and the mid-2027 completion timetable;</w:t>
      </w:r>
    </w:p>
    <w:p>
      <w:pPr>
        <w:pStyle w:val="Compact"/>
        <w:numPr>
          <w:ilvl w:val="0"/>
          <w:numId w:val="1008"/>
        </w:numPr>
      </w:pPr>
      <w:r>
        <w:t xml:space="preserve">Better-than-feared expense control despite heavier marketing, Brex, travel, and integration costs;</w:t>
      </w:r>
    </w:p>
    <w:p>
      <w:pPr>
        <w:pStyle w:val="Compact"/>
        <w:numPr>
          <w:ilvl w:val="0"/>
          <w:numId w:val="1008"/>
        </w:numPr>
      </w:pPr>
      <w:r>
        <w:t xml:space="preserve">A maintained or accelerated capital-return posture after the Brex-related CET1 impact;</w:t>
      </w:r>
    </w:p>
    <w:p>
      <w:pPr>
        <w:pStyle w:val="Compact"/>
        <w:numPr>
          <w:ilvl w:val="0"/>
          <w:numId w:val="1008"/>
        </w:numPr>
      </w:pPr>
      <w:r>
        <w:t xml:space="preserve">Specific evidence that Capital One’s premium-card, national banking, travel, and payments-network investments are generating attractive returns.</w:t>
      </w:r>
    </w:p>
    <w:bookmarkEnd w:id="16"/>
    <w:bookmarkStart w:id="17" w:name="risks-to-the-report"/>
    <w:p>
      <w:pPr>
        <w:pStyle w:val="Heading2"/>
      </w:pPr>
      <w:r>
        <w:t xml:space="preserve">Risks to the report</w:t>
      </w:r>
    </w:p>
    <w:p>
      <w:pPr>
        <w:pStyle w:val="FirstParagraph"/>
      </w:pPr>
      <w:r>
        <w:t xml:space="preserve">The principal downside risks are:</w:t>
      </w:r>
    </w:p>
    <w:p>
      <w:pPr>
        <w:pStyle w:val="Compact"/>
        <w:numPr>
          <w:ilvl w:val="0"/>
          <w:numId w:val="1009"/>
        </w:numPr>
      </w:pPr>
      <w:r>
        <w:t xml:space="preserve">A reacceleration in card or auto delinquencies/charge-offs;</w:t>
      </w:r>
    </w:p>
    <w:p>
      <w:pPr>
        <w:pStyle w:val="Compact"/>
        <w:numPr>
          <w:ilvl w:val="0"/>
          <w:numId w:val="1009"/>
        </w:numPr>
      </w:pPr>
      <w:r>
        <w:t xml:space="preserve">A larger-than-expected reserve build;</w:t>
      </w:r>
    </w:p>
    <w:p>
      <w:pPr>
        <w:pStyle w:val="Compact"/>
        <w:numPr>
          <w:ilvl w:val="0"/>
          <w:numId w:val="1009"/>
        </w:numPr>
      </w:pPr>
      <w:r>
        <w:t xml:space="preserve">NIM failing to recover as cash, deposit costs, or balance-sheet mix remain unfavorable;</w:t>
      </w:r>
    </w:p>
    <w:p>
      <w:pPr>
        <w:pStyle w:val="Compact"/>
        <w:numPr>
          <w:ilvl w:val="0"/>
          <w:numId w:val="1009"/>
        </w:numPr>
      </w:pPr>
      <w:r>
        <w:t xml:space="preserve">Expenses stepping up more sharply than investors expect;</w:t>
      </w:r>
    </w:p>
    <w:p>
      <w:pPr>
        <w:pStyle w:val="Compact"/>
        <w:numPr>
          <w:ilvl w:val="0"/>
          <w:numId w:val="1009"/>
        </w:numPr>
      </w:pPr>
      <w:r>
        <w:t xml:space="preserve">Lack of transparency around Brex purchase accounting, earnings contribution, or investment needs;</w:t>
      </w:r>
    </w:p>
    <w:p>
      <w:pPr>
        <w:pStyle w:val="Compact"/>
        <w:numPr>
          <w:ilvl w:val="0"/>
          <w:numId w:val="1009"/>
        </w:numPr>
      </w:pPr>
      <w:r>
        <w:t xml:space="preserve">Slower Discover conversion progress, delayed synergies, or a longer loan-growth brownout;</w:t>
      </w:r>
    </w:p>
    <w:p>
      <w:pPr>
        <w:pStyle w:val="Compact"/>
        <w:numPr>
          <w:ilvl w:val="0"/>
          <w:numId w:val="1009"/>
        </w:numPr>
      </w:pPr>
      <w:r>
        <w:t xml:space="preserve">A more conservative tone on consumer health, especially if energy prices or labor-market conditions pressure lower-income customers.</w:t>
      </w:r>
    </w:p>
    <w:p>
      <w:r>
        <w:pict>
          <v:rect style="width:0;height:1.5pt" o:hralign="center" o:hrstd="t" o:hr="t"/>
        </w:pict>
      </w:r>
    </w:p>
    <w:bookmarkEnd w:id="17"/>
    <w:bookmarkStart w:id="18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rPr>
          <w:b/>
          <w:bCs/>
        </w:rPr>
        <w:t xml:space="preserve">The most important 2Q test is whether Capital One can show that its near-term investment burden is buying measurable strategic progress without undermining core earnings quality.</w:t>
      </w:r>
      <w:r>
        <w:t xml:space="preserve"> </w:t>
      </w:r>
      <w:r>
        <w:t xml:space="preserve">Credit and capital begin from positions of strength; the earnings debate is therefore likely to center on NIM normalization, the scale of the expense step-up, and tangible Discover synergy realization.</w:t>
      </w:r>
    </w:p>
    <w:p>
      <w:pPr>
        <w:pStyle w:val="BodyText"/>
      </w:pPr>
      <w:r>
        <w:t xml:space="preserve">A report showing stable credit, a sequential NIM rebound, and visible debit-related revenue synergies would reinforce the case that 2026 is a transition year toward materially stronger post-integration returns. Conversely, a miss driven by expense escalation or disappointing margin recovery—especially without clearer evidence of Discover execution—would likely keep the stock range-bound despite its long-term strategic assets.</w:t>
      </w:r>
    </w:p>
    <w:p>
      <w:pPr>
        <w:pStyle w:val="BodyText"/>
      </w:pPr>
      <w:r>
        <w:rPr>
          <w:i/>
          <w:iCs/>
        </w:rPr>
        <w:t xml:space="preserve">Source materials: Capital One’s 1Q26 earnings release, financial supplement, earnings-call transcript, and May 2026 monthly charge-off/delinquency disclosure; COF historical closing-price data through July 20, 2026.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2026-07-21T00:54:47Z</dcterms:created>
  <dcterms:modified xsi:type="dcterms:W3CDTF">2026-07-21T00:54:47Z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