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Capital One Financial Corporation (COF)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Capital One Financial Corporation</w:t>
            </w:r>
          </w:p>
        </w:tc>
      </w:tr>
      <w:tr>
        <w:tc>
          <w:tcPr>
            <w:tcW w:type="dxa" w:w="4320"/>
          </w:tcPr>
          <w:p>
            <w:r>
              <w:rPr>
                <w:rFonts w:ascii="Calibri" w:hAnsi="Calibri"/>
                <w:b/>
                <w:sz w:val="22"/>
              </w:rPr>
              <w:t>Ticker</w:t>
            </w:r>
          </w:p>
        </w:tc>
        <w:tc>
          <w:tcPr>
            <w:tcW w:type="dxa" w:w="4320"/>
          </w:tcPr>
          <w:p>
            <w:r>
              <w:rPr>
                <w:rFonts w:ascii="Calibri" w:hAnsi="Calibri"/>
                <w:sz w:val="22"/>
              </w:rPr>
              <w:t>COF (NYSE)</w:t>
            </w:r>
          </w:p>
        </w:tc>
      </w:tr>
      <w:tr>
        <w:tc>
          <w:tcPr>
            <w:tcW w:type="dxa" w:w="4320"/>
          </w:tcPr>
          <w:p>
            <w:r>
              <w:rPr>
                <w:rFonts w:ascii="Calibri" w:hAnsi="Calibri"/>
                <w:b/>
                <w:sz w:val="22"/>
              </w:rPr>
              <w:t>Upcoming Earnings</w:t>
            </w:r>
          </w:p>
        </w:tc>
        <w:tc>
          <w:tcPr>
            <w:tcW w:type="dxa" w:w="4320"/>
          </w:tcPr>
          <w:p>
            <w:r>
              <w:rPr>
                <w:rFonts w:ascii="Calibri" w:hAnsi="Calibri"/>
                <w:sz w:val="22"/>
              </w:rPr>
              <w:t>Q2 2026 (expected late July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Analyst Consensus</w:t>
            </w:r>
          </w:p>
        </w:tc>
        <w:tc>
          <w:tcPr>
            <w:tcW w:type="dxa" w:w="4320"/>
          </w:tcPr>
          <w:p>
            <w:r>
              <w:rPr>
                <w:rFonts w:ascii="Calibri" w:hAnsi="Calibri"/>
                <w:sz w:val="22"/>
              </w:rPr>
              <w:t>Moderate Buy — 20 Buy / 4 Hold / 0 Sell (24 analysts); avg. price target $259.91</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COF’s Q2 2026 print is cautiously constructive — the biggest swing factor is whether the </w:t>
      </w:r>
      <w:r>
        <w:rPr>
          <w:rFonts w:ascii="Calibri" w:hAnsi="Calibri"/>
          <w:b/>
          <w:color w:val="525866"/>
          <w:sz w:val="22"/>
        </w:rPr>
        <w:t>domestic card charge-off rate</w:t>
      </w:r>
      <w:r>
        <w:rPr>
          <w:rFonts w:ascii="Calibri" w:hAnsi="Calibri"/>
          <w:color w:val="525866"/>
          <w:sz w:val="22"/>
        </w:rPr>
        <w:t xml:space="preserve"> continues its better-than-seasonal improvement trend, which would validate management’s “leaning into growth” posture and support a beat on operating EPS.</w:t>
      </w:r>
    </w:p>
    <w:p>
      <w:r>
        <w:rPr>
          <w:rFonts w:ascii="Calibri" w:hAnsi="Calibri"/>
          <w:color w:val="525866"/>
          <w:sz w:val="22"/>
        </w:rPr>
        <w:t xml:space="preserve">Heading into Q2 2026, the bar for Capital One looks achievable but not easy: consensus operating EPS of </w:t>
      </w:r>
      <w:r>
        <w:rPr>
          <w:rFonts w:ascii="Calibri" w:hAnsi="Calibri"/>
          <w:b/>
          <w:color w:val="525866"/>
          <w:sz w:val="22"/>
        </w:rPr>
        <w:t>$4.81</w:t>
      </w:r>
      <w:r>
        <w:rPr>
          <w:rFonts w:ascii="Calibri" w:hAnsi="Calibri"/>
          <w:color w:val="525866"/>
          <w:sz w:val="22"/>
        </w:rPr>
        <w:t xml:space="preserve"> implies meaningful sequential improvement from Q1’s $4.42 print, and the domestic card charge-off rate consensus of </w:t>
      </w:r>
      <w:r>
        <w:rPr>
          <w:rFonts w:ascii="Calibri" w:hAnsi="Calibri"/>
          <w:b/>
          <w:color w:val="525866"/>
          <w:sz w:val="22"/>
        </w:rPr>
        <w:t>~4.90%</w:t>
      </w:r>
      <w:r>
        <w:rPr>
          <w:rFonts w:ascii="Calibri" w:hAnsi="Calibri"/>
          <w:color w:val="525866"/>
          <w:sz w:val="22"/>
        </w:rPr>
        <w:t xml:space="preserve"> would represent continued year-over-year improvement from the 5.25% posted in Q2 2025. Management’s tone on the Q1 2026 call was notably more constructive than prior quarters — they explicitly stated they are “leaning into growing the business,” flagged that seasonally adjusted delinquencies for the combined Capital One/Discover portfolio performed better than seasonality through April 2026, and argued the improvement likely transcends the tax refund effect. Estimate revisions have been broadly stable-to-slightly-positive since the Q1 print, with the street largely accepting management’s constructive credit narrative. The stock has lagged the XLF (+7.2%) and S&amp;P 500 (+5.4%) since Q1 earnings, returning only +2.1% since April 21, suggesting the market has not yet priced in a beat — leaving room for upside if credit metrics surprise favorably. The key wildcard is </w:t>
      </w:r>
      <w:r>
        <w:rPr>
          <w:rFonts w:ascii="Calibri" w:hAnsi="Calibri"/>
          <w:b/>
          <w:color w:val="525866"/>
          <w:sz w:val="22"/>
        </w:rPr>
        <w:t>marketing expense</w:t>
      </w:r>
      <w:r>
        <w:rPr>
          <w:rFonts w:ascii="Calibri" w:hAnsi="Calibri"/>
          <w:color w:val="525866"/>
          <w:sz w:val="22"/>
        </w:rPr>
        <w:t>: management explicitly guided that Q1’s ~$1.5B was “seasonally low” and that planned investments shifted into Q2 and beyond, meaning a heavier-than-expected marketing line could pressure the efficiency ratio and EPS even if credit trends cooperate.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on credit quality — the domestic card charge-off rate estimate of ~4.90% is below Q1’s 5.10% and well below the prior-year 5.25%, implying continued improvement. The bigger swing factor is NIM: consensus at 8.02% is below Q1’s 7.87% on a seasonally adjusted basis, and management’s own commentary suggests structural NIM should “persist” from H2 2025 levels (~8.26–8.36%), meaning consensus may be too conservative on NIM.</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Diluted Operating EPS ($)</w:t>
            </w:r>
          </w:p>
        </w:tc>
        <w:tc>
          <w:tcPr>
            <w:tcW w:type="dxa" w:w="1234"/>
          </w:tcPr>
          <w:p>
            <w:r>
              <w:rPr>
                <w:rFonts w:ascii="Calibri" w:hAnsi="Calibri"/>
                <w:sz w:val="22"/>
              </w:rPr>
              <w:t>$4.42</w:t>
            </w:r>
          </w:p>
        </w:tc>
        <w:tc>
          <w:tcPr>
            <w:tcW w:type="dxa" w:w="1234"/>
          </w:tcPr>
          <w:p>
            <w:r>
              <w:rPr>
                <w:rFonts w:ascii="Calibri" w:hAnsi="Calibri"/>
                <w:sz w:val="22"/>
              </w:rPr>
              <w:t>$5.47</w:t>
            </w:r>
          </w:p>
        </w:tc>
        <w:tc>
          <w:tcPr>
            <w:tcW w:type="dxa" w:w="1234"/>
          </w:tcPr>
          <w:p>
            <w:r>
              <w:rPr>
                <w:rFonts w:ascii="Calibri" w:hAnsi="Calibri"/>
                <w:sz w:val="22"/>
              </w:rPr>
              <w:t>$4.81</w:t>
            </w:r>
          </w:p>
        </w:tc>
        <w:tc>
          <w:tcPr>
            <w:tcW w:type="dxa" w:w="1234"/>
          </w:tcPr>
          <w:p>
            <w:r>
              <w:rPr>
                <w:rFonts w:ascii="Calibri" w:hAnsi="Calibri"/>
                <w:sz w:val="22"/>
              </w:rPr>
              <w:t>-12.1% YoY</w:t>
            </w:r>
          </w:p>
        </w:tc>
        <w:tc>
          <w:tcPr>
            <w:tcW w:type="dxa" w:w="1234"/>
          </w:tcPr>
          <w:p>
            <w:r>
              <w:rPr>
                <w:rFonts w:ascii="Calibri" w:hAnsi="Calibri"/>
                <w:sz w:val="22"/>
              </w:rPr>
              <w:t>No explicit EPS guide; efficiency ratio pressure from Brex/Hopper inclusion and heavier marketing expected</w:t>
            </w:r>
          </w:p>
        </w:tc>
        <w:tc>
          <w:tcPr>
            <w:tcW w:type="dxa" w:w="1234"/>
          </w:tcPr>
          <w:p>
            <w:r>
              <w:rPr>
                <w:rFonts w:ascii="Calibri" w:hAnsi="Calibri"/>
                <w:sz w:val="22"/>
              </w:rPr>
              <w:t>N/A — no numerical guide</w:t>
            </w:r>
          </w:p>
        </w:tc>
      </w:tr>
      <w:tr>
        <w:tc>
          <w:tcPr>
            <w:tcW w:type="dxa" w:w="1234"/>
          </w:tcPr>
          <w:p>
            <w:r>
              <w:rPr>
                <w:rFonts w:ascii="Calibri" w:hAnsi="Calibri"/>
                <w:sz w:val="22"/>
              </w:rPr>
              <w:t>Total Net Revenue ($B)</w:t>
            </w:r>
          </w:p>
        </w:tc>
        <w:tc>
          <w:tcPr>
            <w:tcW w:type="dxa" w:w="1234"/>
          </w:tcPr>
          <w:p>
            <w:r>
              <w:rPr>
                <w:rFonts w:ascii="Calibri" w:hAnsi="Calibri"/>
                <w:sz w:val="22"/>
              </w:rPr>
              <w:t>$15.23B</w:t>
            </w:r>
          </w:p>
        </w:tc>
        <w:tc>
          <w:tcPr>
            <w:tcW w:type="dxa" w:w="1234"/>
          </w:tcPr>
          <w:p>
            <w:r>
              <w:rPr>
                <w:rFonts w:ascii="Calibri" w:hAnsi="Calibri"/>
                <w:sz w:val="22"/>
              </w:rPr>
              <w:t>$12.49B</w:t>
            </w:r>
          </w:p>
        </w:tc>
        <w:tc>
          <w:tcPr>
            <w:tcW w:type="dxa" w:w="1234"/>
          </w:tcPr>
          <w:p>
            <w:r>
              <w:rPr>
                <w:rFonts w:ascii="Calibri" w:hAnsi="Calibri"/>
                <w:sz w:val="22"/>
              </w:rPr>
              <w:t>$15.80B</w:t>
            </w:r>
          </w:p>
        </w:tc>
        <w:tc>
          <w:tcPr>
            <w:tcW w:type="dxa" w:w="1234"/>
          </w:tcPr>
          <w:p>
            <w:r>
              <w:rPr>
                <w:rFonts w:ascii="Calibri" w:hAnsi="Calibri"/>
                <w:sz w:val="22"/>
              </w:rPr>
              <w:t>+26.5% YoY</w:t>
            </w:r>
          </w:p>
        </w:tc>
        <w:tc>
          <w:tcPr>
            <w:tcW w:type="dxa" w:w="1234"/>
          </w:tcPr>
          <w:p>
            <w:r>
              <w:rPr>
                <w:rFonts w:ascii="Calibri" w:hAnsi="Calibri"/>
                <w:sz w:val="22"/>
              </w:rPr>
              <w:t>No explicit revenue guide; NIM expected to benefit from 1 more day (+9 bps) and declining cash position</w:t>
            </w:r>
          </w:p>
        </w:tc>
        <w:tc>
          <w:tcPr>
            <w:tcW w:type="dxa" w:w="1234"/>
          </w:tcPr>
          <w:p>
            <w:r>
              <w:rPr>
                <w:rFonts w:ascii="Calibri" w:hAnsi="Calibri"/>
                <w:sz w:val="22"/>
              </w:rPr>
              <w:t>N/A — no numerical guide</w:t>
            </w:r>
          </w:p>
        </w:tc>
      </w:tr>
      <w:tr>
        <w:tc>
          <w:tcPr>
            <w:tcW w:type="dxa" w:w="1234"/>
          </w:tcPr>
          <w:p>
            <w:r>
              <w:rPr>
                <w:rFonts w:ascii="Calibri" w:hAnsi="Calibri"/>
                <w:sz w:val="22"/>
              </w:rPr>
              <w:t>Net Interest Margin (%)</w:t>
            </w:r>
          </w:p>
        </w:tc>
        <w:tc>
          <w:tcPr>
            <w:tcW w:type="dxa" w:w="1234"/>
          </w:tcPr>
          <w:p>
            <w:r>
              <w:rPr>
                <w:rFonts w:ascii="Calibri" w:hAnsi="Calibri"/>
                <w:sz w:val="22"/>
              </w:rPr>
              <w:t>7.87%</w:t>
            </w:r>
          </w:p>
        </w:tc>
        <w:tc>
          <w:tcPr>
            <w:tcW w:type="dxa" w:w="1234"/>
          </w:tcPr>
          <w:p>
            <w:r>
              <w:rPr>
                <w:rFonts w:ascii="Calibri" w:hAnsi="Calibri"/>
                <w:sz w:val="22"/>
              </w:rPr>
              <w:t>7.62%</w:t>
            </w:r>
          </w:p>
        </w:tc>
        <w:tc>
          <w:tcPr>
            <w:tcW w:type="dxa" w:w="1234"/>
          </w:tcPr>
          <w:p>
            <w:r>
              <w:rPr>
                <w:rFonts w:ascii="Calibri" w:hAnsi="Calibri"/>
                <w:sz w:val="22"/>
              </w:rPr>
              <w:t>8.02%</w:t>
            </w:r>
          </w:p>
        </w:tc>
        <w:tc>
          <w:tcPr>
            <w:tcW w:type="dxa" w:w="1234"/>
          </w:tcPr>
          <w:p>
            <w:r>
              <w:rPr>
                <w:rFonts w:ascii="Calibri" w:hAnsi="Calibri"/>
                <w:sz w:val="22"/>
              </w:rPr>
              <w:t>+40 bps YoY</w:t>
            </w:r>
          </w:p>
        </w:tc>
        <w:tc>
          <w:tcPr>
            <w:tcW w:type="dxa" w:w="1234"/>
          </w:tcPr>
          <w:p>
            <w:r>
              <w:rPr>
                <w:rFonts w:ascii="Calibri" w:hAnsi="Calibri"/>
                <w:sz w:val="22"/>
              </w:rPr>
              <w:t>Q2 gets +9 bps from 1 extra day; cash position expected to trend down; structural NIM from H2 2025 (~8.26–8.36%) should “persist”</w:t>
            </w:r>
          </w:p>
        </w:tc>
        <w:tc>
          <w:tcPr>
            <w:tcW w:type="dxa" w:w="1234"/>
          </w:tcPr>
          <w:p>
            <w:r>
              <w:rPr>
                <w:rFonts w:ascii="Calibri" w:hAnsi="Calibri"/>
                <w:sz w:val="22"/>
              </w:rPr>
              <w:t>Cons. appears conservative vs. mgmt structural NIM view</w:t>
            </w:r>
          </w:p>
        </w:tc>
      </w:tr>
      <w:tr>
        <w:tc>
          <w:tcPr>
            <w:tcW w:type="dxa" w:w="1234"/>
          </w:tcPr>
          <w:p>
            <w:r>
              <w:rPr>
                <w:rFonts w:ascii="Calibri" w:hAnsi="Calibri"/>
                <w:sz w:val="22"/>
              </w:rPr>
              <w:t>Domestic Card Net Charge-Off Rate (%)</w:t>
            </w:r>
          </w:p>
        </w:tc>
        <w:tc>
          <w:tcPr>
            <w:tcW w:type="dxa" w:w="1234"/>
          </w:tcPr>
          <w:p>
            <w:r>
              <w:rPr>
                <w:rFonts w:ascii="Calibri" w:hAnsi="Calibri"/>
                <w:sz w:val="22"/>
              </w:rPr>
              <w:t>5.10%</w:t>
            </w:r>
          </w:p>
        </w:tc>
        <w:tc>
          <w:tcPr>
            <w:tcW w:type="dxa" w:w="1234"/>
          </w:tcPr>
          <w:p>
            <w:r>
              <w:rPr>
                <w:rFonts w:ascii="Calibri" w:hAnsi="Calibri"/>
                <w:sz w:val="22"/>
              </w:rPr>
              <w:t>5.25%</w:t>
            </w:r>
          </w:p>
        </w:tc>
        <w:tc>
          <w:tcPr>
            <w:tcW w:type="dxa" w:w="1234"/>
          </w:tcPr>
          <w:p>
            <w:r>
              <w:rPr>
                <w:rFonts w:ascii="Calibri" w:hAnsi="Calibri"/>
                <w:sz w:val="22"/>
              </w:rPr>
              <w:t>4.90%</w:t>
            </w:r>
          </w:p>
        </w:tc>
        <w:tc>
          <w:tcPr>
            <w:tcW w:type="dxa" w:w="1234"/>
          </w:tcPr>
          <w:p>
            <w:r>
              <w:rPr>
                <w:rFonts w:ascii="Calibri" w:hAnsi="Calibri"/>
                <w:sz w:val="22"/>
              </w:rPr>
              <w:t>-35 bps YoY</w:t>
            </w:r>
          </w:p>
        </w:tc>
        <w:tc>
          <w:tcPr>
            <w:tcW w:type="dxa" w:w="1234"/>
          </w:tcPr>
          <w:p>
            <w:r>
              <w:rPr>
                <w:rFonts w:ascii="Calibri" w:hAnsi="Calibri"/>
                <w:sz w:val="22"/>
              </w:rPr>
              <w:t>No explicit guide; Q1 was “in line with normal seasonality”; delinquency trends through April better than seasonal</w:t>
            </w:r>
          </w:p>
        </w:tc>
        <w:tc>
          <w:tcPr>
            <w:tcW w:type="dxa" w:w="1234"/>
          </w:tcPr>
          <w:p>
            <w:r>
              <w:rPr>
                <w:rFonts w:ascii="Calibri" w:hAnsi="Calibri"/>
                <w:sz w:val="22"/>
              </w:rPr>
              <w:t>N/A — no numerical guide</w:t>
            </w:r>
          </w:p>
        </w:tc>
      </w:tr>
      <w:tr>
        <w:tc>
          <w:tcPr>
            <w:tcW w:type="dxa" w:w="1234"/>
          </w:tcPr>
          <w:p>
            <w:r>
              <w:rPr>
                <w:rFonts w:ascii="Calibri" w:hAnsi="Calibri"/>
                <w:sz w:val="22"/>
              </w:rPr>
              <w:t>Domestic Card 30+ Day Delinquency Rate (%)</w:t>
            </w:r>
          </w:p>
        </w:tc>
        <w:tc>
          <w:tcPr>
            <w:tcW w:type="dxa" w:w="1234"/>
          </w:tcPr>
          <w:p>
            <w:r>
              <w:rPr>
                <w:rFonts w:ascii="Calibri" w:hAnsi="Calibri"/>
                <w:sz w:val="22"/>
              </w:rPr>
              <w:t>3.70%</w:t>
            </w:r>
          </w:p>
        </w:tc>
        <w:tc>
          <w:tcPr>
            <w:tcW w:type="dxa" w:w="1234"/>
          </w:tcPr>
          <w:p>
            <w:r>
              <w:rPr>
                <w:rFonts w:ascii="Calibri" w:hAnsi="Calibri"/>
                <w:sz w:val="22"/>
              </w:rPr>
              <w:t>3.60%</w:t>
            </w:r>
          </w:p>
        </w:tc>
        <w:tc>
          <w:tcPr>
            <w:tcW w:type="dxa" w:w="1234"/>
          </w:tcPr>
          <w:p>
            <w:r>
              <w:rPr>
                <w:rFonts w:ascii="Calibri" w:hAnsi="Calibri"/>
                <w:sz w:val="22"/>
              </w:rPr>
              <w:t>3.53%</w:t>
            </w:r>
          </w:p>
        </w:tc>
        <w:tc>
          <w:tcPr>
            <w:tcW w:type="dxa" w:w="1234"/>
          </w:tcPr>
          <w:p>
            <w:r>
              <w:rPr>
                <w:rFonts w:ascii="Calibri" w:hAnsi="Calibri"/>
                <w:sz w:val="22"/>
              </w:rPr>
              <w:t>-7 bps YoY</w:t>
            </w:r>
          </w:p>
        </w:tc>
        <w:tc>
          <w:tcPr>
            <w:tcW w:type="dxa" w:w="1234"/>
          </w:tcPr>
          <w:p>
            <w:r>
              <w:rPr>
                <w:rFonts w:ascii="Calibri" w:hAnsi="Calibri"/>
                <w:sz w:val="22"/>
              </w:rPr>
              <w:t>Q1 trend was “a bit better than normal seasonality”; April delinquencies better than seasonal for combined portfolio</w:t>
            </w:r>
          </w:p>
        </w:tc>
        <w:tc>
          <w:tcPr>
            <w:tcW w:type="dxa" w:w="1234"/>
          </w:tcPr>
          <w:p>
            <w:r>
              <w:rPr>
                <w:rFonts w:ascii="Calibri" w:hAnsi="Calibri"/>
                <w:sz w:val="22"/>
              </w:rPr>
              <w:t>N/A — no numerical guide</w:t>
            </w:r>
          </w:p>
        </w:tc>
      </w:tr>
      <w:tr>
        <w:tc>
          <w:tcPr>
            <w:tcW w:type="dxa" w:w="1234"/>
          </w:tcPr>
          <w:p>
            <w:r>
              <w:rPr>
                <w:rFonts w:ascii="Calibri" w:hAnsi="Calibri"/>
                <w:sz w:val="22"/>
              </w:rPr>
              <w:t>Provision for Credit Losses ($B)</w:t>
            </w:r>
          </w:p>
        </w:tc>
        <w:tc>
          <w:tcPr>
            <w:tcW w:type="dxa" w:w="1234"/>
          </w:tcPr>
          <w:p>
            <w:r>
              <w:rPr>
                <w:rFonts w:ascii="Calibri" w:hAnsi="Calibri"/>
                <w:sz w:val="22"/>
              </w:rPr>
              <w:t>$4.07B</w:t>
            </w:r>
          </w:p>
        </w:tc>
        <w:tc>
          <w:tcPr>
            <w:tcW w:type="dxa" w:w="1234"/>
          </w:tcPr>
          <w:p>
            <w:r>
              <w:rPr>
                <w:rFonts w:ascii="Calibri" w:hAnsi="Calibri"/>
                <w:sz w:val="22"/>
              </w:rPr>
              <w:t>$11.43B*</w:t>
            </w:r>
          </w:p>
        </w:tc>
        <w:tc>
          <w:tcPr>
            <w:tcW w:type="dxa" w:w="1234"/>
          </w:tcPr>
          <w:p>
            <w:r>
              <w:rPr>
                <w:rFonts w:ascii="Calibri" w:hAnsi="Calibri"/>
                <w:sz w:val="22"/>
              </w:rPr>
              <w:t>$3.89B</w:t>
            </w:r>
          </w:p>
        </w:tc>
        <w:tc>
          <w:tcPr>
            <w:tcW w:type="dxa" w:w="1234"/>
          </w:tcPr>
          <w:p>
            <w:r>
              <w:rPr>
                <w:rFonts w:ascii="Calibri" w:hAnsi="Calibri"/>
                <w:sz w:val="22"/>
              </w:rPr>
              <w:t>N/M (Q2 2025 included Discover PCD)</w:t>
            </w:r>
          </w:p>
        </w:tc>
        <w:tc>
          <w:tcPr>
            <w:tcW w:type="dxa" w:w="1234"/>
          </w:tcPr>
          <w:p>
            <w:r>
              <w:rPr>
                <w:rFonts w:ascii="Calibri" w:hAnsi="Calibri"/>
                <w:sz w:val="22"/>
              </w:rPr>
              <w:t>No explicit guide; reserve build/release will depend on macro outlook and credit trend</w:t>
            </w:r>
          </w:p>
        </w:tc>
        <w:tc>
          <w:tcPr>
            <w:tcW w:type="dxa" w:w="1234"/>
          </w:tcPr>
          <w:p>
            <w:r>
              <w:rPr>
                <w:rFonts w:ascii="Calibri" w:hAnsi="Calibri"/>
                <w:sz w:val="22"/>
              </w:rPr>
              <w:t>N/A — no numerical guide</w:t>
            </w:r>
          </w:p>
        </w:tc>
      </w:tr>
      <w:tr>
        <w:tc>
          <w:tcPr>
            <w:tcW w:type="dxa" w:w="1234"/>
          </w:tcPr>
          <w:p>
            <w:r>
              <w:rPr>
                <w:rFonts w:ascii="Calibri" w:hAnsi="Calibri"/>
                <w:sz w:val="22"/>
              </w:rPr>
              <w:t>Marketing Expense ($B)</w:t>
            </w:r>
          </w:p>
        </w:tc>
        <w:tc>
          <w:tcPr>
            <w:tcW w:type="dxa" w:w="1234"/>
          </w:tcPr>
          <w:p>
            <w:r>
              <w:rPr>
                <w:rFonts w:ascii="Calibri" w:hAnsi="Calibri"/>
                <w:sz w:val="22"/>
              </w:rPr>
              <w:t>$1.50B</w:t>
            </w:r>
          </w:p>
        </w:tc>
        <w:tc>
          <w:tcPr>
            <w:tcW w:type="dxa" w:w="1234"/>
          </w:tcPr>
          <w:p>
            <w:r>
              <w:rPr>
                <w:rFonts w:ascii="Calibri" w:hAnsi="Calibri"/>
                <w:sz w:val="22"/>
              </w:rPr>
              <w:t>$1.35B</w:t>
            </w:r>
          </w:p>
        </w:tc>
        <w:tc>
          <w:tcPr>
            <w:tcW w:type="dxa" w:w="1234"/>
          </w:tcPr>
          <w:p>
            <w:r>
              <w:rPr>
                <w:rFonts w:ascii="Calibri" w:hAnsi="Calibri"/>
                <w:sz w:val="22"/>
              </w:rPr>
              <w:t>$1.70B</w:t>
            </w:r>
          </w:p>
        </w:tc>
        <w:tc>
          <w:tcPr>
            <w:tcW w:type="dxa" w:w="1234"/>
          </w:tcPr>
          <w:p>
            <w:r>
              <w:rPr>
                <w:rFonts w:ascii="Calibri" w:hAnsi="Calibri"/>
                <w:sz w:val="22"/>
              </w:rPr>
              <w:t>+26.0% YoY</w:t>
            </w:r>
          </w:p>
        </w:tc>
        <w:tc>
          <w:tcPr>
            <w:tcW w:type="dxa" w:w="1234"/>
          </w:tcPr>
          <w:p>
            <w:r>
              <w:rPr>
                <w:rFonts w:ascii="Calibri" w:hAnsi="Calibri"/>
                <w:sz w:val="22"/>
              </w:rPr>
              <w:t>Q1 was “seasonally low”; planned investments shifted into Q2+; expect to “increasingly lean into marketing”</w:t>
            </w:r>
          </w:p>
        </w:tc>
        <w:tc>
          <w:tcPr>
            <w:tcW w:type="dxa" w:w="1234"/>
          </w:tcPr>
          <w:p>
            <w:r>
              <w:rPr>
                <w:rFonts w:ascii="Calibri" w:hAnsi="Calibri"/>
                <w:sz w:val="22"/>
              </w:rPr>
              <w:t>Cons. implies step-up; risk to upside if marketing accelerates more than expected</w:t>
            </w:r>
          </w:p>
        </w:tc>
      </w:tr>
      <w:tr>
        <w:tc>
          <w:tcPr>
            <w:tcW w:type="dxa" w:w="1234"/>
          </w:tcPr>
          <w:p>
            <w:r>
              <w:rPr>
                <w:rFonts w:ascii="Calibri" w:hAnsi="Calibri"/>
                <w:sz w:val="22"/>
              </w:rPr>
              <w:t>Efficiency Ratio (%)</w:t>
            </w:r>
          </w:p>
        </w:tc>
        <w:tc>
          <w:tcPr>
            <w:tcW w:type="dxa" w:w="1234"/>
          </w:tcPr>
          <w:p>
            <w:r>
              <w:rPr>
                <w:rFonts w:ascii="Calibri" w:hAnsi="Calibri"/>
                <w:sz w:val="22"/>
              </w:rPr>
              <w:t>55.57%</w:t>
            </w:r>
          </w:p>
        </w:tc>
        <w:tc>
          <w:tcPr>
            <w:tcW w:type="dxa" w:w="1234"/>
          </w:tcPr>
          <w:p>
            <w:r>
              <w:rPr>
                <w:rFonts w:ascii="Calibri" w:hAnsi="Calibri"/>
                <w:sz w:val="22"/>
              </w:rPr>
              <w:t>55.96%</w:t>
            </w:r>
          </w:p>
        </w:tc>
        <w:tc>
          <w:tcPr>
            <w:tcW w:type="dxa" w:w="1234"/>
          </w:tcPr>
          <w:p>
            <w:r>
              <w:rPr>
                <w:rFonts w:ascii="Calibri" w:hAnsi="Calibri"/>
                <w:sz w:val="22"/>
              </w:rPr>
              <w:t>55.40%</w:t>
            </w:r>
          </w:p>
        </w:tc>
        <w:tc>
          <w:tcPr>
            <w:tcW w:type="dxa" w:w="1234"/>
          </w:tcPr>
          <w:p>
            <w:r>
              <w:rPr>
                <w:rFonts w:ascii="Calibri" w:hAnsi="Calibri"/>
                <w:sz w:val="22"/>
              </w:rPr>
              <w:t>-56 bps YoY</w:t>
            </w:r>
          </w:p>
        </w:tc>
        <w:tc>
          <w:tcPr>
            <w:tcW w:type="dxa" w:w="1234"/>
          </w:tcPr>
          <w:p>
            <w:r>
              <w:rPr>
                <w:rFonts w:ascii="Calibri" w:hAnsi="Calibri"/>
                <w:sz w:val="22"/>
              </w:rPr>
              <w:t>Brex/Hopper not yet in run-rate; marketing heavier; mgmt does not guide explicitly to efficiency ratio</w:t>
            </w:r>
          </w:p>
        </w:tc>
        <w:tc>
          <w:tcPr>
            <w:tcW w:type="dxa" w:w="1234"/>
          </w:tcPr>
          <w:p>
            <w:r>
              <w:rPr>
                <w:rFonts w:ascii="Calibri" w:hAnsi="Calibri"/>
                <w:sz w:val="22"/>
              </w:rPr>
              <w:t>Risk to upside from Brex inclusion + marketing step-up</w:t>
            </w:r>
          </w:p>
        </w:tc>
      </w:tr>
      <w:tr>
        <w:tc>
          <w:tcPr>
            <w:tcW w:type="dxa" w:w="1234"/>
          </w:tcPr>
          <w:p>
            <w:r>
              <w:rPr>
                <w:rFonts w:ascii="Calibri" w:hAnsi="Calibri"/>
                <w:sz w:val="22"/>
              </w:rPr>
              <w:t>CET1 Capital Ratio (%)</w:t>
            </w:r>
          </w:p>
        </w:tc>
        <w:tc>
          <w:tcPr>
            <w:tcW w:type="dxa" w:w="1234"/>
          </w:tcPr>
          <w:p>
            <w:r>
              <w:rPr>
                <w:rFonts w:ascii="Calibri" w:hAnsi="Calibri"/>
                <w:sz w:val="22"/>
              </w:rPr>
              <w:t>14.36%</w:t>
            </w:r>
          </w:p>
        </w:tc>
        <w:tc>
          <w:tcPr>
            <w:tcW w:type="dxa" w:w="1234"/>
          </w:tcPr>
          <w:p>
            <w:r>
              <w:rPr>
                <w:rFonts w:ascii="Calibri" w:hAnsi="Calibri"/>
                <w:sz w:val="22"/>
              </w:rPr>
              <w:t>14.05%</w:t>
            </w:r>
          </w:p>
        </w:tc>
        <w:tc>
          <w:tcPr>
            <w:tcW w:type="dxa" w:w="1234"/>
          </w:tcPr>
          <w:p>
            <w:r>
              <w:rPr>
                <w:rFonts w:ascii="Calibri" w:hAnsi="Calibri"/>
                <w:sz w:val="22"/>
              </w:rPr>
              <w:t>13.75%</w:t>
            </w:r>
          </w:p>
        </w:tc>
        <w:tc>
          <w:tcPr>
            <w:tcW w:type="dxa" w:w="1234"/>
          </w:tcPr>
          <w:p>
            <w:r>
              <w:rPr>
                <w:rFonts w:ascii="Calibri" w:hAnsi="Calibri"/>
                <w:sz w:val="22"/>
              </w:rPr>
              <w:t>-30 bps YoY (est.)</w:t>
            </w:r>
          </w:p>
        </w:tc>
        <w:tc>
          <w:tcPr>
            <w:tcW w:type="dxa" w:w="1234"/>
          </w:tcPr>
          <w:p>
            <w:r>
              <w:rPr>
                <w:rFonts w:ascii="Calibri" w:hAnsi="Calibri"/>
                <w:sz w:val="22"/>
              </w:rPr>
              <w:t>Long-term target ~11%; excess capital above target supports $16B buyback authorization; Brex deal used ~$1B+ in stock</w:t>
            </w:r>
          </w:p>
        </w:tc>
        <w:tc>
          <w:tcPr>
            <w:tcW w:type="dxa" w:w="1234"/>
          </w:tcPr>
          <w:p>
            <w:r>
              <w:rPr>
                <w:rFonts w:ascii="Calibri" w:hAnsi="Calibri"/>
                <w:sz w:val="22"/>
              </w:rPr>
              <w:t>N/A — no numerical guide</w:t>
            </w:r>
          </w:p>
        </w:tc>
      </w:tr>
    </w:tbl>
    <w:p>
      <w:r>
        <w:rPr>
          <w:rFonts w:ascii="Calibri" w:hAnsi="Calibri"/>
          <w:b/>
          <w:color w:val="525866"/>
          <w:sz w:val="22"/>
        </w:rPr>
        <w:t xml:space="preserve">* </w:t>
      </w:r>
      <w:r>
        <w:rPr>
          <w:rFonts w:ascii="Calibri" w:hAnsi="Calibri"/>
          <w:color w:val="525866"/>
          <w:sz w:val="22"/>
        </w:rPr>
        <w:t>Q2 2025 provision of $11.43B was inflated by the initial Discover PCD (purchased credit deterioration) allowance build at acquisition close and is not comparable. All consensus figures sourced from Visible Alpha.</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$4.42</w:t>
            </w:r>
          </w:p>
        </w:tc>
        <w:tc>
          <w:tcPr>
            <w:tcW w:type="dxa" w:w="1440"/>
          </w:tcPr>
          <w:p>
            <w:r>
              <w:rPr>
                <w:rFonts w:ascii="Calibri" w:hAnsi="Calibri"/>
                <w:sz w:val="22"/>
              </w:rPr>
              <w:t>$4.57</w:t>
            </w:r>
          </w:p>
        </w:tc>
        <w:tc>
          <w:tcPr>
            <w:tcW w:type="dxa" w:w="1440"/>
          </w:tcPr>
          <w:p>
            <w:r>
              <w:rPr>
                <w:rFonts w:ascii="Calibri" w:hAnsi="Calibri"/>
                <w:sz w:val="22"/>
              </w:rPr>
              <w:t>-3.3%</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Dom. Card NCO Rate</w:t>
            </w:r>
          </w:p>
        </w:tc>
        <w:tc>
          <w:tcPr>
            <w:tcW w:type="dxa" w:w="1440"/>
          </w:tcPr>
          <w:p>
            <w:r>
              <w:rPr>
                <w:rFonts w:ascii="Calibri" w:hAnsi="Calibri"/>
                <w:sz w:val="22"/>
              </w:rPr>
              <w:t>5.10%</w:t>
            </w:r>
          </w:p>
        </w:tc>
        <w:tc>
          <w:tcPr>
            <w:tcW w:type="dxa" w:w="1440"/>
          </w:tcPr>
          <w:p>
            <w:r>
              <w:rPr>
                <w:rFonts w:ascii="Calibri" w:hAnsi="Calibri"/>
                <w:sz w:val="22"/>
              </w:rPr>
              <w:t>5.13%</w:t>
            </w:r>
          </w:p>
        </w:tc>
        <w:tc>
          <w:tcPr>
            <w:tcW w:type="dxa" w:w="1440"/>
          </w:tcPr>
          <w:p>
            <w:r>
              <w:rPr>
                <w:rFonts w:ascii="Calibri" w:hAnsi="Calibri"/>
                <w:sz w:val="22"/>
              </w:rPr>
              <w:t>+0.6% (better)</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$3.86</w:t>
            </w:r>
          </w:p>
        </w:tc>
        <w:tc>
          <w:tcPr>
            <w:tcW w:type="dxa" w:w="1440"/>
          </w:tcPr>
          <w:p>
            <w:r>
              <w:rPr>
                <w:rFonts w:ascii="Calibri" w:hAnsi="Calibri"/>
                <w:sz w:val="22"/>
              </w:rPr>
              <w:t>$4.16</w:t>
            </w:r>
          </w:p>
        </w:tc>
        <w:tc>
          <w:tcPr>
            <w:tcW w:type="dxa" w:w="1440"/>
          </w:tcPr>
          <w:p>
            <w:r>
              <w:rPr>
                <w:rFonts w:ascii="Calibri" w:hAnsi="Calibri"/>
                <w:sz w:val="22"/>
              </w:rPr>
              <w:t>-7.2%</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Dom. Card NCO Rate</w:t>
            </w:r>
          </w:p>
        </w:tc>
        <w:tc>
          <w:tcPr>
            <w:tcW w:type="dxa" w:w="1440"/>
          </w:tcPr>
          <w:p>
            <w:r>
              <w:rPr>
                <w:rFonts w:ascii="Calibri" w:hAnsi="Calibri"/>
                <w:sz w:val="22"/>
              </w:rPr>
              <w:t>4.93%</w:t>
            </w:r>
          </w:p>
        </w:tc>
        <w:tc>
          <w:tcPr>
            <w:tcW w:type="dxa" w:w="1440"/>
          </w:tcPr>
          <w:p>
            <w:r>
              <w:rPr>
                <w:rFonts w:ascii="Calibri" w:hAnsi="Calibri"/>
                <w:sz w:val="22"/>
              </w:rPr>
              <w:t>5.04%</w:t>
            </w:r>
          </w:p>
        </w:tc>
        <w:tc>
          <w:tcPr>
            <w:tcW w:type="dxa" w:w="1440"/>
          </w:tcPr>
          <w:p>
            <w:r>
              <w:rPr>
                <w:rFonts w:ascii="Calibri" w:hAnsi="Calibri"/>
                <w:sz w:val="22"/>
              </w:rPr>
              <w:t>+2.2% (better)</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$5.95</w:t>
            </w:r>
          </w:p>
        </w:tc>
        <w:tc>
          <w:tcPr>
            <w:tcW w:type="dxa" w:w="1440"/>
          </w:tcPr>
          <w:p>
            <w:r>
              <w:rPr>
                <w:rFonts w:ascii="Calibri" w:hAnsi="Calibri"/>
                <w:sz w:val="22"/>
              </w:rPr>
              <w:t>$4.39</w:t>
            </w:r>
          </w:p>
        </w:tc>
        <w:tc>
          <w:tcPr>
            <w:tcW w:type="dxa" w:w="1440"/>
          </w:tcPr>
          <w:p>
            <w:r>
              <w:rPr>
                <w:rFonts w:ascii="Calibri" w:hAnsi="Calibri"/>
                <w:sz w:val="22"/>
              </w:rPr>
              <w:t>+35.5%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Dom. Card NCO Rate</w:t>
            </w:r>
          </w:p>
        </w:tc>
        <w:tc>
          <w:tcPr>
            <w:tcW w:type="dxa" w:w="1440"/>
          </w:tcPr>
          <w:p>
            <w:r>
              <w:rPr>
                <w:rFonts w:ascii="Calibri" w:hAnsi="Calibri"/>
                <w:sz w:val="22"/>
              </w:rPr>
              <w:t>4.63%</w:t>
            </w:r>
          </w:p>
        </w:tc>
        <w:tc>
          <w:tcPr>
            <w:tcW w:type="dxa" w:w="1440"/>
          </w:tcPr>
          <w:p>
            <w:r>
              <w:rPr>
                <w:rFonts w:ascii="Calibri" w:hAnsi="Calibri"/>
                <w:sz w:val="22"/>
              </w:rPr>
              <w:t>4.92%</w:t>
            </w:r>
          </w:p>
        </w:tc>
        <w:tc>
          <w:tcPr>
            <w:tcW w:type="dxa" w:w="1440"/>
          </w:tcPr>
          <w:p>
            <w:r>
              <w:rPr>
                <w:rFonts w:ascii="Calibri" w:hAnsi="Calibri"/>
                <w:sz w:val="22"/>
              </w:rPr>
              <w:t>+6.3% (better)</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$5.47</w:t>
            </w:r>
          </w:p>
        </w:tc>
        <w:tc>
          <w:tcPr>
            <w:tcW w:type="dxa" w:w="1440"/>
          </w:tcPr>
          <w:p>
            <w:r>
              <w:rPr>
                <w:rFonts w:ascii="Calibri" w:hAnsi="Calibri"/>
                <w:sz w:val="22"/>
              </w:rPr>
              <w:t>$3.02</w:t>
            </w:r>
          </w:p>
        </w:tc>
        <w:tc>
          <w:tcPr>
            <w:tcW w:type="dxa" w:w="1440"/>
          </w:tcPr>
          <w:p>
            <w:r>
              <w:rPr>
                <w:rFonts w:ascii="Calibri" w:hAnsi="Calibri"/>
                <w:sz w:val="22"/>
              </w:rPr>
              <w:t>+81.2%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Dom. Card NCO Rate</w:t>
            </w:r>
          </w:p>
        </w:tc>
        <w:tc>
          <w:tcPr>
            <w:tcW w:type="dxa" w:w="1440"/>
          </w:tcPr>
          <w:p>
            <w:r>
              <w:rPr>
                <w:rFonts w:ascii="Calibri" w:hAnsi="Calibri"/>
                <w:sz w:val="22"/>
              </w:rPr>
              <w:t>5.25%</w:t>
            </w:r>
          </w:p>
        </w:tc>
        <w:tc>
          <w:tcPr>
            <w:tcW w:type="dxa" w:w="1440"/>
          </w:tcPr>
          <w:p>
            <w:r>
              <w:rPr>
                <w:rFonts w:ascii="Calibri" w:hAnsi="Calibri"/>
                <w:sz w:val="22"/>
              </w:rPr>
              <w:t>5.55%</w:t>
            </w:r>
          </w:p>
        </w:tc>
        <w:tc>
          <w:tcPr>
            <w:tcW w:type="dxa" w:w="1440"/>
          </w:tcPr>
          <w:p>
            <w:r>
              <w:rPr>
                <w:rFonts w:ascii="Calibri" w:hAnsi="Calibri"/>
                <w:sz w:val="22"/>
              </w:rPr>
              <w:t>+5.4% (better)</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$4.05</w:t>
            </w:r>
          </w:p>
        </w:tc>
        <w:tc>
          <w:tcPr>
            <w:tcW w:type="dxa" w:w="1440"/>
          </w:tcPr>
          <w:p>
            <w:r>
              <w:rPr>
                <w:rFonts w:ascii="Calibri" w:hAnsi="Calibri"/>
                <w:sz w:val="22"/>
              </w:rPr>
              <w:t>$3.68</w:t>
            </w:r>
          </w:p>
        </w:tc>
        <w:tc>
          <w:tcPr>
            <w:tcW w:type="dxa" w:w="1440"/>
          </w:tcPr>
          <w:p>
            <w:r>
              <w:rPr>
                <w:rFonts w:ascii="Calibri" w:hAnsi="Calibri"/>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Dom. Card NCO Rate</w:t>
            </w:r>
          </w:p>
        </w:tc>
        <w:tc>
          <w:tcPr>
            <w:tcW w:type="dxa" w:w="1440"/>
          </w:tcPr>
          <w:p>
            <w:r>
              <w:rPr>
                <w:rFonts w:ascii="Calibri" w:hAnsi="Calibri"/>
                <w:sz w:val="22"/>
              </w:rPr>
              <w:t>6.19%</w:t>
            </w:r>
          </w:p>
        </w:tc>
        <w:tc>
          <w:tcPr>
            <w:tcW w:type="dxa" w:w="1440"/>
          </w:tcPr>
          <w:p>
            <w:r>
              <w:rPr>
                <w:rFonts w:ascii="Calibri" w:hAnsi="Calibri"/>
                <w:sz w:val="22"/>
              </w:rPr>
              <w:t>6.31%</w:t>
            </w:r>
          </w:p>
        </w:tc>
        <w:tc>
          <w:tcPr>
            <w:tcW w:type="dxa" w:w="1440"/>
          </w:tcPr>
          <w:p>
            <w:r>
              <w:rPr>
                <w:rFonts w:ascii="Calibri" w:hAnsi="Calibri"/>
                <w:sz w:val="22"/>
              </w:rPr>
              <w:t>+1.9% (better)</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$3.09</w:t>
            </w:r>
          </w:p>
        </w:tc>
        <w:tc>
          <w:tcPr>
            <w:tcW w:type="dxa" w:w="1440"/>
          </w:tcPr>
          <w:p>
            <w:r>
              <w:rPr>
                <w:rFonts w:ascii="Calibri" w:hAnsi="Calibri"/>
                <w:sz w:val="22"/>
              </w:rPr>
              <w:t>$2.82</w:t>
            </w:r>
          </w:p>
        </w:tc>
        <w:tc>
          <w:tcPr>
            <w:tcW w:type="dxa" w:w="1440"/>
          </w:tcPr>
          <w:p>
            <w:r>
              <w:rPr>
                <w:rFonts w:ascii="Calibri" w:hAnsi="Calibri"/>
                <w:sz w:val="22"/>
              </w:rPr>
              <w:t>+9.6%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Dom. Card NCO Rate</w:t>
            </w:r>
          </w:p>
        </w:tc>
        <w:tc>
          <w:tcPr>
            <w:tcW w:type="dxa" w:w="1440"/>
          </w:tcPr>
          <w:p>
            <w:r>
              <w:rPr>
                <w:rFonts w:ascii="Calibri" w:hAnsi="Calibri"/>
                <w:sz w:val="22"/>
              </w:rPr>
              <w:t>6.06%</w:t>
            </w:r>
          </w:p>
        </w:tc>
        <w:tc>
          <w:tcPr>
            <w:tcW w:type="dxa" w:w="1440"/>
          </w:tcPr>
          <w:p>
            <w:r>
              <w:rPr>
                <w:rFonts w:ascii="Calibri" w:hAnsi="Calibri"/>
                <w:sz w:val="22"/>
              </w:rPr>
              <w:t>6.06%</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$4.52</w:t>
            </w:r>
          </w:p>
        </w:tc>
        <w:tc>
          <w:tcPr>
            <w:tcW w:type="dxa" w:w="1440"/>
          </w:tcPr>
          <w:p>
            <w:r>
              <w:rPr>
                <w:rFonts w:ascii="Calibri" w:hAnsi="Calibri"/>
                <w:sz w:val="22"/>
              </w:rPr>
              <w:t>$3.81</w:t>
            </w:r>
          </w:p>
        </w:tc>
        <w:tc>
          <w:tcPr>
            <w:tcW w:type="dxa" w:w="1440"/>
          </w:tcPr>
          <w:p>
            <w:r>
              <w:rPr>
                <w:rFonts w:ascii="Calibri" w:hAnsi="Calibri"/>
                <w:sz w:val="22"/>
              </w:rPr>
              <w:t>+18.6%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Dom. Card NCO Rate</w:t>
            </w:r>
          </w:p>
        </w:tc>
        <w:tc>
          <w:tcPr>
            <w:tcW w:type="dxa" w:w="1440"/>
          </w:tcPr>
          <w:p>
            <w:r>
              <w:rPr>
                <w:rFonts w:ascii="Calibri" w:hAnsi="Calibri"/>
                <w:sz w:val="22"/>
              </w:rPr>
              <w:t>5.61%</w:t>
            </w:r>
          </w:p>
        </w:tc>
        <w:tc>
          <w:tcPr>
            <w:tcW w:type="dxa" w:w="1440"/>
          </w:tcPr>
          <w:p>
            <w:r>
              <w:rPr>
                <w:rFonts w:ascii="Calibri" w:hAnsi="Calibri"/>
                <w:sz w:val="22"/>
              </w:rPr>
              <w:t>5.69%</w:t>
            </w:r>
          </w:p>
        </w:tc>
        <w:tc>
          <w:tcPr>
            <w:tcW w:type="dxa" w:w="1440"/>
          </w:tcPr>
          <w:p>
            <w:r>
              <w:rPr>
                <w:rFonts w:ascii="Calibri" w:hAnsi="Calibri"/>
                <w:sz w:val="22"/>
              </w:rPr>
              <w:t>+1.4% (better)</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$3.14</w:t>
            </w:r>
          </w:p>
        </w:tc>
        <w:tc>
          <w:tcPr>
            <w:tcW w:type="dxa" w:w="1440"/>
          </w:tcPr>
          <w:p>
            <w:r>
              <w:rPr>
                <w:rFonts w:ascii="Calibri" w:hAnsi="Calibri"/>
                <w:sz w:val="22"/>
              </w:rPr>
              <w:t>$3.17</w:t>
            </w:r>
          </w:p>
        </w:tc>
        <w:tc>
          <w:tcPr>
            <w:tcW w:type="dxa" w:w="1440"/>
          </w:tcPr>
          <w:p>
            <w:r>
              <w:rPr>
                <w:rFonts w:ascii="Calibri" w:hAnsi="Calibri"/>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Dom. Card NCO Rate</w:t>
            </w:r>
          </w:p>
        </w:tc>
        <w:tc>
          <w:tcPr>
            <w:tcW w:type="dxa" w:w="1440"/>
          </w:tcPr>
          <w:p>
            <w:r>
              <w:rPr>
                <w:rFonts w:ascii="Calibri" w:hAnsi="Calibri"/>
                <w:sz w:val="22"/>
              </w:rPr>
              <w:t>6.05%</w:t>
            </w:r>
          </w:p>
        </w:tc>
        <w:tc>
          <w:tcPr>
            <w:tcW w:type="dxa" w:w="1440"/>
          </w:tcPr>
          <w:p>
            <w:r>
              <w:rPr>
                <w:rFonts w:ascii="Calibri" w:hAnsi="Calibri"/>
                <w:sz w:val="22"/>
              </w:rPr>
              <w:t>5.99%</w:t>
            </w:r>
          </w:p>
        </w:tc>
        <w:tc>
          <w:tcPr>
            <w:tcW w:type="dxa" w:w="1440"/>
          </w:tcPr>
          <w:p>
            <w:r>
              <w:rPr>
                <w:rFonts w:ascii="Calibri" w:hAnsi="Calibri"/>
                <w:sz w:val="22"/>
              </w:rPr>
              <w:t>-1.0% (worse)</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COF has beaten on the domestic card charge-off rate in 7 of the last 8 quarters, consistently delivering better-than-feared credit quality — the one exception (Q2 2024) coincided with the only EPS miss in that same quarter. EPS beats have been driven largely by credit outperformance and reserve releases; the two recent EPS misses (Q4 2025, Q1 2026) were driven by elevated provisions and one-time items (Brex acquisition costs, Discover integration), not underlying credit deterioration. All data sourced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meaningfully more constructive since Q4 2025 — from cautious stabilization on credit to cautious optimism, with explicit language about “leaning into growth.” The key guidance evolution is on NIM (structural level should persist from H2 2025) and marketing (heavier in Q2+), with Brex/Hopper now entering the efficiency ratio run-rate.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Q4 2025 Earnings (Jan 22, 2026)</w:t>
            </w:r>
          </w:p>
        </w:tc>
        <w:tc>
          <w:tcPr>
            <w:tcW w:type="dxa" w:w="2160"/>
            <w:shd w:val="clear" w:color="auto" w:fill="3B4259"/>
          </w:tcPr>
          <w:p>
            <w:r>
              <w:rPr>
                <w:rFonts w:ascii="Calibri" w:hAnsi="Calibri"/>
                <w:b/>
                <w:color w:val="FFFFFF"/>
                <w:sz w:val="22"/>
              </w:rPr>
              <w:t>Q1 2026 Earnings (Apr 21, 2026) — Baseline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Credit Quality / Consumer Health</w:t>
            </w:r>
          </w:p>
        </w:tc>
        <w:tc>
          <w:tcPr>
            <w:tcW w:type="dxa" w:w="2160"/>
          </w:tcPr>
          <w:p>
            <w:r>
              <w:rPr>
                <w:rFonts w:ascii="Calibri" w:hAnsi="Calibri"/>
                <w:sz w:val="22"/>
              </w:rPr>
              <w:t>Credit metrics “settling out” after steady improvement; cautious stabilization tone</w:t>
            </w:r>
          </w:p>
        </w:tc>
        <w:tc>
          <w:tcPr>
            <w:tcW w:type="dxa" w:w="2160"/>
          </w:tcPr>
          <w:p>
            <w:r>
              <w:rPr>
                <w:rFonts w:ascii="Calibri" w:hAnsi="Calibri"/>
                <w:sz w:val="22"/>
              </w:rPr>
              <w:t>Shifted to cautious optimism: delinquencies better than seasonality through April; improvement “likely transcends tax refund effect”; “leaning into growing the business”</w:t>
            </w:r>
          </w:p>
        </w:tc>
        <w:tc>
          <w:tcPr>
            <w:tcW w:type="dxa" w:w="2160"/>
          </w:tcPr>
          <w:p>
            <w:r>
              <w:rPr>
                <w:rFonts w:ascii="Calibri" w:hAnsi="Calibri"/>
                <w:b/>
                <w:color w:val="30A46C"/>
                <w:sz w:val="22"/>
              </w:rPr>
              <w:t>MORE CONSTRUCTIVE</w:t>
            </w:r>
          </w:p>
        </w:tc>
      </w:tr>
      <w:tr>
        <w:tc>
          <w:tcPr>
            <w:tcW w:type="dxa" w:w="2160"/>
          </w:tcPr>
          <w:p>
            <w:r>
              <w:rPr>
                <w:rFonts w:ascii="Calibri" w:hAnsi="Calibri"/>
                <w:sz w:val="22"/>
              </w:rPr>
              <w:t>Net Interest Margin</w:t>
            </w:r>
          </w:p>
        </w:tc>
        <w:tc>
          <w:tcPr>
            <w:tcW w:type="dxa" w:w="2160"/>
          </w:tcPr>
          <w:p>
            <w:r>
              <w:rPr>
                <w:rFonts w:ascii="Calibri" w:hAnsi="Calibri"/>
                <w:sz w:val="22"/>
              </w:rPr>
              <w:t>NIM impacted by Discover Home Loans sale and seasonal card balance decline</w:t>
            </w:r>
          </w:p>
        </w:tc>
        <w:tc>
          <w:tcPr>
            <w:tcW w:type="dxa" w:w="2160"/>
          </w:tcPr>
          <w:p>
            <w:r>
              <w:rPr>
                <w:rFonts w:ascii="Calibri" w:hAnsi="Calibri"/>
                <w:sz w:val="22"/>
              </w:rPr>
              <w:t>Q2 gets +9 bps from 1 extra day; cash position to trend down; structural NIM from H2 2025 (“8.26–8.36%”) should “persist” on seasonally adjusted basis</w:t>
            </w:r>
          </w:p>
        </w:tc>
        <w:tc>
          <w:tcPr>
            <w:tcW w:type="dxa" w:w="2160"/>
          </w:tcPr>
          <w:p>
            <w:r>
              <w:rPr>
                <w:rFonts w:ascii="Calibri" w:hAnsi="Calibri"/>
                <w:b/>
                <w:color w:val="30A46C"/>
                <w:sz w:val="22"/>
              </w:rPr>
              <w:t>CONSTRUCTIVE</w:t>
            </w:r>
          </w:p>
        </w:tc>
      </w:tr>
      <w:tr>
        <w:tc>
          <w:tcPr>
            <w:tcW w:type="dxa" w:w="2160"/>
          </w:tcPr>
          <w:p>
            <w:r>
              <w:rPr>
                <w:rFonts w:ascii="Calibri" w:hAnsi="Calibri"/>
                <w:sz w:val="22"/>
              </w:rPr>
              <w:t>Marketing Expense</w:t>
            </w:r>
          </w:p>
        </w:tc>
        <w:tc>
          <w:tcPr>
            <w:tcW w:type="dxa" w:w="2160"/>
          </w:tcPr>
          <w:p>
            <w:r>
              <w:rPr>
                <w:rFonts w:ascii="Calibri" w:hAnsi="Calibri"/>
                <w:sz w:val="22"/>
              </w:rPr>
              <w:t>Marketing elevated; investing in premium card franchise and national banking brand</w:t>
            </w:r>
          </w:p>
        </w:tc>
        <w:tc>
          <w:tcPr>
            <w:tcW w:type="dxa" w:w="2160"/>
          </w:tcPr>
          <w:p>
            <w:r>
              <w:rPr>
                <w:rFonts w:ascii="Calibri" w:hAnsi="Calibri"/>
                <w:sz w:val="22"/>
              </w:rPr>
              <w:t>Q1 was “seasonally low” and amplified by timing shift; planned investments shifted into Q2+; will “increasingly lean into marketing”</w:t>
            </w:r>
          </w:p>
        </w:tc>
        <w:tc>
          <w:tcPr>
            <w:tcW w:type="dxa" w:w="2160"/>
          </w:tcPr>
          <w:p>
            <w:r>
              <w:rPr>
                <w:rFonts w:ascii="Calibri" w:hAnsi="Calibri"/>
                <w:b/>
                <w:color w:val="E5484D"/>
                <w:sz w:val="22"/>
              </w:rPr>
              <w:t>HEAVIER AHEAD</w:t>
            </w:r>
          </w:p>
        </w:tc>
      </w:tr>
      <w:tr>
        <w:tc>
          <w:tcPr>
            <w:tcW w:type="dxa" w:w="2160"/>
          </w:tcPr>
          <w:p>
            <w:r>
              <w:rPr>
                <w:rFonts w:ascii="Calibri" w:hAnsi="Calibri"/>
                <w:sz w:val="22"/>
              </w:rPr>
              <w:t>Efficiency Ratio</w:t>
            </w:r>
          </w:p>
        </w:tc>
        <w:tc>
          <w:tcPr>
            <w:tcW w:type="dxa" w:w="2160"/>
          </w:tcPr>
          <w:p>
            <w:r>
              <w:rPr>
                <w:rFonts w:ascii="Calibri" w:hAnsi="Calibri"/>
                <w:sz w:val="22"/>
              </w:rPr>
              <w:t>“Upward pressure on efficiency ratio in the near term” from investments</w:t>
            </w:r>
          </w:p>
        </w:tc>
        <w:tc>
          <w:tcPr>
            <w:tcW w:type="dxa" w:w="2160"/>
          </w:tcPr>
          <w:p>
            <w:r>
              <w:rPr>
                <w:rFonts w:ascii="Calibri" w:hAnsi="Calibri"/>
                <w:sz w:val="22"/>
              </w:rPr>
              <w:t>Brex and Hopper “not in the current efficiency ratio” — will be reflected going forward; does not guide explicitly to efficiency ratio</w:t>
            </w:r>
          </w:p>
        </w:tc>
        <w:tc>
          <w:tcPr>
            <w:tcW w:type="dxa" w:w="2160"/>
          </w:tcPr>
          <w:p>
            <w:r>
              <w:rPr>
                <w:rFonts w:ascii="Calibri" w:hAnsi="Calibri"/>
                <w:b/>
                <w:color w:val="E5484D"/>
                <w:sz w:val="22"/>
              </w:rPr>
              <w:t>PRESSURE AHEAD</w:t>
            </w:r>
          </w:p>
        </w:tc>
      </w:tr>
      <w:tr>
        <w:tc>
          <w:tcPr>
            <w:tcW w:type="dxa" w:w="2160"/>
          </w:tcPr>
          <w:p>
            <w:r>
              <w:rPr>
                <w:rFonts w:ascii="Calibri" w:hAnsi="Calibri"/>
                <w:sz w:val="22"/>
              </w:rPr>
              <w:t>Discover Integration</w:t>
            </w:r>
          </w:p>
        </w:tc>
        <w:tc>
          <w:tcPr>
            <w:tcW w:type="dxa" w:w="2160"/>
          </w:tcPr>
          <w:p>
            <w:r>
              <w:rPr>
                <w:rFonts w:ascii="Calibri" w:hAnsi="Calibri"/>
                <w:sz w:val="22"/>
              </w:rPr>
              <w:t>Integration on track; debit network migration complete; cost synergies weighted to 2027</w:t>
            </w:r>
          </w:p>
        </w:tc>
        <w:tc>
          <w:tcPr>
            <w:tcW w:type="dxa" w:w="2160"/>
          </w:tcPr>
          <w:p>
            <w:r>
              <w:rPr>
                <w:rFonts w:ascii="Calibri" w:hAnsi="Calibri"/>
                <w:sz w:val="22"/>
              </w:rPr>
              <w:t>New originations fully on COF platform by Sept 2026; back book migrating by Jan 2027; ROTCE targets reaffirmed</w:t>
            </w:r>
          </w:p>
        </w:tc>
        <w:tc>
          <w:tcPr>
            <w:tcW w:type="dxa" w:w="2160"/>
          </w:tcPr>
          <w:p>
            <w:r>
              <w:rPr>
                <w:rFonts w:ascii="Calibri" w:hAnsi="Calibri"/>
                <w:b/>
                <w:color w:val="30A46C"/>
                <w:sz w:val="22"/>
              </w:rPr>
              <w:t>ON TRACK</w:t>
            </w:r>
          </w:p>
        </w:tc>
      </w:tr>
      <w:tr>
        <w:tc>
          <w:tcPr>
            <w:tcW w:type="dxa" w:w="2160"/>
          </w:tcPr>
          <w:p>
            <w:r>
              <w:rPr>
                <w:rFonts w:ascii="Calibri" w:hAnsi="Calibri"/>
                <w:sz w:val="22"/>
              </w:rPr>
              <w:t>Brex Acquisition</w:t>
            </w:r>
          </w:p>
        </w:tc>
        <w:tc>
          <w:tcPr>
            <w:tcW w:type="dxa" w:w="2160"/>
          </w:tcPr>
          <w:p>
            <w:r>
              <w:rPr>
                <w:rFonts w:ascii="Calibri" w:hAnsi="Calibri"/>
                <w:sz w:val="22"/>
              </w:rPr>
              <w:t>Announced Dec 2025; described as “hand-in-glove fit”; deal expected to close Q2 2026</w:t>
            </w:r>
          </w:p>
        </w:tc>
        <w:tc>
          <w:tcPr>
            <w:tcW w:type="dxa" w:w="2160"/>
          </w:tcPr>
          <w:p>
            <w:r>
              <w:rPr>
                <w:rFonts w:ascii="Calibri" w:hAnsi="Calibri"/>
                <w:sz w:val="22"/>
              </w:rPr>
              <w:t>Closed April 7, 2026; ~2 months into execution; management “highly enthusiastic”; sequenced value-creation roadmap articulated</w:t>
            </w:r>
          </w:p>
        </w:tc>
        <w:tc>
          <w:tcPr>
            <w:tcW w:type="dxa" w:w="2160"/>
          </w:tcPr>
          <w:p>
            <w:r>
              <w:rPr>
                <w:rFonts w:ascii="Calibri" w:hAnsi="Calibri"/>
                <w:b/>
                <w:color w:val="002FA7"/>
                <w:sz w:val="22"/>
              </w:rPr>
              <w:t>EXECUTING</w:t>
            </w:r>
          </w:p>
        </w:tc>
      </w:tr>
      <w:tr>
        <w:tc>
          <w:tcPr>
            <w:tcW w:type="dxa" w:w="2160"/>
          </w:tcPr>
          <w:p>
            <w:r>
              <w:rPr>
                <w:rFonts w:ascii="Calibri" w:hAnsi="Calibri"/>
                <w:sz w:val="22"/>
              </w:rPr>
              <w:t>Capital / Buybacks</w:t>
            </w:r>
          </w:p>
        </w:tc>
        <w:tc>
          <w:tcPr>
            <w:tcW w:type="dxa" w:w="2160"/>
          </w:tcPr>
          <w:p>
            <w:r>
              <w:rPr>
                <w:rFonts w:ascii="Calibri" w:hAnsi="Calibri"/>
                <w:sz w:val="22"/>
              </w:rPr>
              <w:t>$16B buyback authorization; CET1 well above ~11% long-term target</w:t>
            </w:r>
          </w:p>
        </w:tc>
        <w:tc>
          <w:tcPr>
            <w:tcW w:type="dxa" w:w="2160"/>
          </w:tcPr>
          <w:p>
            <w:r>
              <w:rPr>
                <w:rFonts w:ascii="Calibri" w:hAnsi="Calibri"/>
                <w:sz w:val="22"/>
              </w:rPr>
              <w:t>CET1 at 14.36% in Q1; excess capital above target supports buyback pace; flexibility to adjust based on market conditions</w:t>
            </w:r>
          </w:p>
        </w:tc>
        <w:tc>
          <w:tcPr>
            <w:tcW w:type="dxa" w:w="2160"/>
          </w:tcPr>
          <w:p>
            <w:r>
              <w:rPr>
                <w:rFonts w:ascii="Calibri" w:hAnsi="Calibri"/>
                <w:b/>
                <w:color w:val="002FA7"/>
                <w:sz w:val="22"/>
              </w:rPr>
              <w:t>UNCHANGED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since Q1 2026 earnings have been broadly stable, with the street largely accepting management’s constructive credit narrative. The FY2026 operating EPS consensus of $19.83 and FY2027 of $24.31 imply a strong earnings recovery trajectory as Discover synergies ramp and credit normalizes — but near-term quarters carry efficiency ratio risk from Brex inclusion and heavier marketing.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Q2 2026 Consensus</w:t>
            </w:r>
          </w:p>
        </w:tc>
        <w:tc>
          <w:tcPr>
            <w:tcW w:type="dxa" w:w="1728"/>
            <w:shd w:val="clear" w:color="auto" w:fill="3B4259"/>
          </w:tcPr>
          <w:p>
            <w:r>
              <w:rPr>
                <w:rFonts w:ascii="Calibri" w:hAnsi="Calibri"/>
                <w:b/>
                <w:color w:val="FFFFFF"/>
                <w:sz w:val="22"/>
              </w:rPr>
              <w:t>FY2026 Consensus</w:t>
            </w:r>
          </w:p>
        </w:tc>
        <w:tc>
          <w:tcPr>
            <w:tcW w:type="dxa" w:w="1728"/>
            <w:shd w:val="clear" w:color="auto" w:fill="3B4259"/>
          </w:tcPr>
          <w:p>
            <w:r>
              <w:rPr>
                <w:rFonts w:ascii="Calibri" w:hAnsi="Calibri"/>
                <w:b/>
                <w:color w:val="FFFFFF"/>
                <w:sz w:val="22"/>
              </w:rPr>
              <w:t>FY2027 Consensus</w:t>
            </w:r>
          </w:p>
        </w:tc>
        <w:tc>
          <w:tcPr>
            <w:tcW w:type="dxa" w:w="1728"/>
            <w:shd w:val="clear" w:color="auto" w:fill="3B4259"/>
          </w:tcPr>
          <w:p>
            <w:r>
              <w:rPr>
                <w:rFonts w:ascii="Calibri" w:hAnsi="Calibri"/>
                <w:b/>
                <w:color w:val="FFFFFF"/>
                <w:sz w:val="22"/>
              </w:rPr>
              <w:t>Revision Trend (Post Q1 Earnings)</w:t>
            </w:r>
          </w:p>
        </w:tc>
      </w:tr>
      <w:tr>
        <w:tc>
          <w:tcPr>
            <w:tcW w:type="dxa" w:w="1728"/>
          </w:tcPr>
          <w:p>
            <w:r>
              <w:rPr>
                <w:rFonts w:ascii="Calibri" w:hAnsi="Calibri"/>
                <w:sz w:val="22"/>
              </w:rPr>
              <w:t>Diluted Operating EPS ($)</w:t>
            </w:r>
          </w:p>
        </w:tc>
        <w:tc>
          <w:tcPr>
            <w:tcW w:type="dxa" w:w="1728"/>
          </w:tcPr>
          <w:p>
            <w:r>
              <w:rPr>
                <w:rFonts w:ascii="Calibri" w:hAnsi="Calibri"/>
                <w:sz w:val="22"/>
              </w:rPr>
              <w:t>$4.81</w:t>
            </w:r>
          </w:p>
        </w:tc>
        <w:tc>
          <w:tcPr>
            <w:tcW w:type="dxa" w:w="1728"/>
          </w:tcPr>
          <w:p>
            <w:r>
              <w:rPr>
                <w:rFonts w:ascii="Calibri" w:hAnsi="Calibri"/>
                <w:sz w:val="22"/>
              </w:rPr>
              <w:t>$19.83</w:t>
            </w:r>
          </w:p>
        </w:tc>
        <w:tc>
          <w:tcPr>
            <w:tcW w:type="dxa" w:w="1728"/>
          </w:tcPr>
          <w:p>
            <w:r>
              <w:rPr>
                <w:rFonts w:ascii="Calibri" w:hAnsi="Calibri"/>
                <w:sz w:val="22"/>
              </w:rPr>
              <w:t>$24.31</w:t>
            </w:r>
          </w:p>
        </w:tc>
        <w:tc>
          <w:tcPr>
            <w:tcW w:type="dxa" w:w="1728"/>
          </w:tcPr>
          <w:p>
            <w:r>
              <w:rPr>
                <w:rFonts w:ascii="Calibri" w:hAnsi="Calibri"/>
                <w:sz w:val="22"/>
              </w:rPr>
              <w:t>Stable; Q1 miss absorbed; FY2026 reflects Brex dilution and marketing step-up</w:t>
            </w:r>
          </w:p>
        </w:tc>
      </w:tr>
      <w:tr>
        <w:tc>
          <w:tcPr>
            <w:tcW w:type="dxa" w:w="1728"/>
          </w:tcPr>
          <w:p>
            <w:r>
              <w:rPr>
                <w:rFonts w:ascii="Calibri" w:hAnsi="Calibri"/>
                <w:sz w:val="22"/>
              </w:rPr>
              <w:t>Total Net Revenue ($B)</w:t>
            </w:r>
          </w:p>
        </w:tc>
        <w:tc>
          <w:tcPr>
            <w:tcW w:type="dxa" w:w="1728"/>
          </w:tcPr>
          <w:p>
            <w:r>
              <w:rPr>
                <w:rFonts w:ascii="Calibri" w:hAnsi="Calibri"/>
                <w:sz w:val="22"/>
              </w:rPr>
              <w:t>$15.80B</w:t>
            </w:r>
          </w:p>
        </w:tc>
        <w:tc>
          <w:tcPr>
            <w:tcW w:type="dxa" w:w="1728"/>
          </w:tcPr>
          <w:p>
            <w:r>
              <w:rPr>
                <w:rFonts w:ascii="Calibri" w:hAnsi="Calibri"/>
                <w:sz w:val="22"/>
              </w:rPr>
              <w:t>$63.90B</w:t>
            </w:r>
          </w:p>
        </w:tc>
        <w:tc>
          <w:tcPr>
            <w:tcW w:type="dxa" w:w="1728"/>
          </w:tcPr>
          <w:p>
            <w:r>
              <w:rPr>
                <w:rFonts w:ascii="Calibri" w:hAnsi="Calibri"/>
                <w:sz w:val="22"/>
              </w:rPr>
              <w:t>$67.59B</w:t>
            </w:r>
          </w:p>
        </w:tc>
        <w:tc>
          <w:tcPr>
            <w:tcW w:type="dxa" w:w="1728"/>
          </w:tcPr>
          <w:p>
            <w:r>
              <w:rPr>
                <w:rFonts w:ascii="Calibri" w:hAnsi="Calibri"/>
                <w:sz w:val="22"/>
              </w:rPr>
              <w:t>Stable; Discover full-year contribution now in run-rate</w:t>
            </w:r>
          </w:p>
        </w:tc>
      </w:tr>
      <w:tr>
        <w:tc>
          <w:tcPr>
            <w:tcW w:type="dxa" w:w="1728"/>
          </w:tcPr>
          <w:p>
            <w:r>
              <w:rPr>
                <w:rFonts w:ascii="Calibri" w:hAnsi="Calibri"/>
                <w:sz w:val="22"/>
              </w:rPr>
              <w:t>Net Interest Margin (%)</w:t>
            </w:r>
          </w:p>
        </w:tc>
        <w:tc>
          <w:tcPr>
            <w:tcW w:type="dxa" w:w="1728"/>
          </w:tcPr>
          <w:p>
            <w:r>
              <w:rPr>
                <w:rFonts w:ascii="Calibri" w:hAnsi="Calibri"/>
                <w:sz w:val="22"/>
              </w:rPr>
              <w:t>8.02%</w:t>
            </w:r>
          </w:p>
        </w:tc>
        <w:tc>
          <w:tcPr>
            <w:tcW w:type="dxa" w:w="1728"/>
          </w:tcPr>
          <w:p>
            <w:r>
              <w:rPr>
                <w:rFonts w:ascii="Calibri" w:hAnsi="Calibri"/>
                <w:sz w:val="22"/>
              </w:rPr>
              <w:t>8.08%</w:t>
            </w:r>
          </w:p>
        </w:tc>
        <w:tc>
          <w:tcPr>
            <w:tcW w:type="dxa" w:w="1728"/>
          </w:tcPr>
          <w:p>
            <w:r>
              <w:rPr>
                <w:rFonts w:ascii="Calibri" w:hAnsi="Calibri"/>
                <w:sz w:val="22"/>
              </w:rPr>
              <w:t>8.18%</w:t>
            </w:r>
          </w:p>
        </w:tc>
        <w:tc>
          <w:tcPr>
            <w:tcW w:type="dxa" w:w="1728"/>
          </w:tcPr>
          <w:p>
            <w:r>
              <w:rPr>
                <w:rFonts w:ascii="Calibri" w:hAnsi="Calibri"/>
                <w:sz w:val="22"/>
              </w:rPr>
              <w:t>Slight upward drift; mgmt structural NIM commentary supportive</w:t>
            </w:r>
          </w:p>
        </w:tc>
      </w:tr>
      <w:tr>
        <w:tc>
          <w:tcPr>
            <w:tcW w:type="dxa" w:w="1728"/>
          </w:tcPr>
          <w:p>
            <w:r>
              <w:rPr>
                <w:rFonts w:ascii="Calibri" w:hAnsi="Calibri"/>
                <w:sz w:val="22"/>
              </w:rPr>
              <w:t>Dom. Card NCO Rate (%)</w:t>
            </w:r>
          </w:p>
        </w:tc>
        <w:tc>
          <w:tcPr>
            <w:tcW w:type="dxa" w:w="1728"/>
          </w:tcPr>
          <w:p>
            <w:r>
              <w:rPr>
                <w:rFonts w:ascii="Calibri" w:hAnsi="Calibri"/>
                <w:sz w:val="22"/>
              </w:rPr>
              <w:t>4.90%</w:t>
            </w:r>
          </w:p>
        </w:tc>
        <w:tc>
          <w:tcPr>
            <w:tcW w:type="dxa" w:w="1728"/>
          </w:tcPr>
          <w:p>
            <w:r>
              <w:rPr>
                <w:rFonts w:ascii="Calibri" w:hAnsi="Calibri"/>
                <w:sz w:val="22"/>
              </w:rPr>
              <w:t>4.83%</w:t>
            </w:r>
          </w:p>
        </w:tc>
        <w:tc>
          <w:tcPr>
            <w:tcW w:type="dxa" w:w="1728"/>
          </w:tcPr>
          <w:p>
            <w:r>
              <w:rPr>
                <w:rFonts w:ascii="Calibri" w:hAnsi="Calibri"/>
                <w:sz w:val="22"/>
              </w:rPr>
              <w:t>4.71%</w:t>
            </w:r>
          </w:p>
        </w:tc>
        <w:tc>
          <w:tcPr>
            <w:tcW w:type="dxa" w:w="1728"/>
          </w:tcPr>
          <w:p>
            <w:r>
              <w:rPr>
                <w:rFonts w:ascii="Calibri" w:hAnsi="Calibri"/>
                <w:sz w:val="22"/>
              </w:rPr>
              <w:t>Gradual improvement trend embedded; risk if macro deteriorates</w:t>
            </w:r>
          </w:p>
        </w:tc>
      </w:tr>
      <w:tr>
        <w:tc>
          <w:tcPr>
            <w:tcW w:type="dxa" w:w="1728"/>
          </w:tcPr>
          <w:p>
            <w:r>
              <w:rPr>
                <w:rFonts w:ascii="Calibri" w:hAnsi="Calibri"/>
                <w:sz w:val="22"/>
              </w:rPr>
              <w:t>Dom. Card 30+ Day Delinquency Rate (%)</w:t>
            </w:r>
          </w:p>
        </w:tc>
        <w:tc>
          <w:tcPr>
            <w:tcW w:type="dxa" w:w="1728"/>
          </w:tcPr>
          <w:p>
            <w:r>
              <w:rPr>
                <w:rFonts w:ascii="Calibri" w:hAnsi="Calibri"/>
                <w:sz w:val="22"/>
              </w:rPr>
              <w:t>3.53%</w:t>
            </w:r>
          </w:p>
        </w:tc>
        <w:tc>
          <w:tcPr>
            <w:tcW w:type="dxa" w:w="1728"/>
          </w:tcPr>
          <w:p>
            <w:r>
              <w:rPr>
                <w:rFonts w:ascii="Calibri" w:hAnsi="Calibri"/>
                <w:sz w:val="22"/>
              </w:rPr>
              <w:t>3.97%</w:t>
            </w:r>
          </w:p>
        </w:tc>
        <w:tc>
          <w:tcPr>
            <w:tcW w:type="dxa" w:w="1728"/>
          </w:tcPr>
          <w:p>
            <w:r>
              <w:rPr>
                <w:rFonts w:ascii="Calibri" w:hAnsi="Calibri"/>
                <w:sz w:val="22"/>
              </w:rPr>
              <w:t>3.88%</w:t>
            </w:r>
          </w:p>
        </w:tc>
        <w:tc>
          <w:tcPr>
            <w:tcW w:type="dxa" w:w="1728"/>
          </w:tcPr>
          <w:p>
            <w:r>
              <w:rPr>
                <w:rFonts w:ascii="Calibri" w:hAnsi="Calibri"/>
                <w:sz w:val="22"/>
              </w:rPr>
              <w:t>Consensus implies improvement vs. Q1’s 3.70%; leading indicator supportive</w:t>
            </w:r>
          </w:p>
        </w:tc>
      </w:tr>
      <w:tr>
        <w:tc>
          <w:tcPr>
            <w:tcW w:type="dxa" w:w="1728"/>
          </w:tcPr>
          <w:p>
            <w:r>
              <w:rPr>
                <w:rFonts w:ascii="Calibri" w:hAnsi="Calibri"/>
                <w:sz w:val="22"/>
              </w:rPr>
              <w:t>Provision for Credit Losses ($B)</w:t>
            </w:r>
          </w:p>
        </w:tc>
        <w:tc>
          <w:tcPr>
            <w:tcW w:type="dxa" w:w="1728"/>
          </w:tcPr>
          <w:p>
            <w:r>
              <w:rPr>
                <w:rFonts w:ascii="Calibri" w:hAnsi="Calibri"/>
                <w:sz w:val="22"/>
              </w:rPr>
              <w:t>$3.89B</w:t>
            </w:r>
          </w:p>
        </w:tc>
        <w:tc>
          <w:tcPr>
            <w:tcW w:type="dxa" w:w="1728"/>
          </w:tcPr>
          <w:p>
            <w:r>
              <w:rPr>
                <w:rFonts w:ascii="Calibri" w:hAnsi="Calibri"/>
                <w:sz w:val="22"/>
              </w:rPr>
              <w:t>$15.78B</w:t>
            </w:r>
          </w:p>
        </w:tc>
        <w:tc>
          <w:tcPr>
            <w:tcW w:type="dxa" w:w="1728"/>
          </w:tcPr>
          <w:p>
            <w:r>
              <w:rPr>
                <w:rFonts w:ascii="Calibri" w:hAnsi="Calibri"/>
                <w:sz w:val="22"/>
              </w:rPr>
              <w:t>$16.05B</w:t>
            </w:r>
          </w:p>
        </w:tc>
        <w:tc>
          <w:tcPr>
            <w:tcW w:type="dxa" w:w="1728"/>
          </w:tcPr>
          <w:p>
            <w:r>
              <w:rPr>
                <w:rFonts w:ascii="Calibri" w:hAnsi="Calibri"/>
                <w:sz w:val="22"/>
              </w:rPr>
              <w:t>Stable; FY reflects normalized provisioning post-Discover PCD</w:t>
            </w:r>
          </w:p>
        </w:tc>
      </w:tr>
      <w:tr>
        <w:tc>
          <w:tcPr>
            <w:tcW w:type="dxa" w:w="1728"/>
          </w:tcPr>
          <w:p>
            <w:r>
              <w:rPr>
                <w:rFonts w:ascii="Calibri" w:hAnsi="Calibri"/>
                <w:sz w:val="22"/>
              </w:rPr>
              <w:t>Marketing Expense ($B)</w:t>
            </w:r>
          </w:p>
        </w:tc>
        <w:tc>
          <w:tcPr>
            <w:tcW w:type="dxa" w:w="1728"/>
          </w:tcPr>
          <w:p>
            <w:r>
              <w:rPr>
                <w:rFonts w:ascii="Calibri" w:hAnsi="Calibri"/>
                <w:sz w:val="22"/>
              </w:rPr>
              <w:t>$1.70B</w:t>
            </w:r>
          </w:p>
        </w:tc>
        <w:tc>
          <w:tcPr>
            <w:tcW w:type="dxa" w:w="1728"/>
          </w:tcPr>
          <w:p>
            <w:r>
              <w:rPr>
                <w:rFonts w:ascii="Calibri" w:hAnsi="Calibri"/>
                <w:sz w:val="22"/>
              </w:rPr>
              <w:t>$7.04B</w:t>
            </w:r>
          </w:p>
        </w:tc>
        <w:tc>
          <w:tcPr>
            <w:tcW w:type="dxa" w:w="1728"/>
          </w:tcPr>
          <w:p>
            <w:r>
              <w:rPr>
                <w:rFonts w:ascii="Calibri" w:hAnsi="Calibri"/>
                <w:sz w:val="22"/>
              </w:rPr>
              <w:t>$7.54B</w:t>
            </w:r>
          </w:p>
        </w:tc>
        <w:tc>
          <w:tcPr>
            <w:tcW w:type="dxa" w:w="1728"/>
          </w:tcPr>
          <w:p>
            <w:r>
              <w:rPr>
                <w:rFonts w:ascii="Calibri" w:hAnsi="Calibri"/>
                <w:sz w:val="22"/>
              </w:rPr>
              <w:t>Step-up from Q1’s $1.50B; risk to upside if COF leans in more aggressively</w:t>
            </w:r>
          </w:p>
        </w:tc>
      </w:tr>
      <w:tr>
        <w:tc>
          <w:tcPr>
            <w:tcW w:type="dxa" w:w="1728"/>
          </w:tcPr>
          <w:p>
            <w:r>
              <w:rPr>
                <w:rFonts w:ascii="Calibri" w:hAnsi="Calibri"/>
                <w:sz w:val="22"/>
              </w:rPr>
              <w:t>Efficiency Ratio (%)</w:t>
            </w:r>
          </w:p>
        </w:tc>
        <w:tc>
          <w:tcPr>
            <w:tcW w:type="dxa" w:w="1728"/>
          </w:tcPr>
          <w:p>
            <w:r>
              <w:rPr>
                <w:rFonts w:ascii="Calibri" w:hAnsi="Calibri"/>
                <w:sz w:val="22"/>
              </w:rPr>
              <w:t>55.40%</w:t>
            </w:r>
          </w:p>
        </w:tc>
        <w:tc>
          <w:tcPr>
            <w:tcW w:type="dxa" w:w="1728"/>
          </w:tcPr>
          <w:p>
            <w:r>
              <w:rPr>
                <w:rFonts w:ascii="Calibri" w:hAnsi="Calibri"/>
                <w:sz w:val="22"/>
              </w:rPr>
              <w:t>55.37%</w:t>
            </w:r>
          </w:p>
        </w:tc>
        <w:tc>
          <w:tcPr>
            <w:tcW w:type="dxa" w:w="1728"/>
          </w:tcPr>
          <w:p>
            <w:r>
              <w:rPr>
                <w:rFonts w:ascii="Calibri" w:hAnsi="Calibri"/>
                <w:sz w:val="22"/>
              </w:rPr>
              <w:t>53.16%</w:t>
            </w:r>
          </w:p>
        </w:tc>
        <w:tc>
          <w:tcPr>
            <w:tcW w:type="dxa" w:w="1728"/>
          </w:tcPr>
          <w:p>
            <w:r>
              <w:rPr>
                <w:rFonts w:ascii="Calibri" w:hAnsi="Calibri"/>
                <w:sz w:val="22"/>
              </w:rPr>
              <w:t>Near-term pressure from Brex/Hopper; improvement expected as synergies ramp in 2027</w:t>
            </w:r>
          </w:p>
        </w:tc>
      </w:tr>
    </w:tbl>
    <w:p>
      <w:r>
        <w:rPr>
          <w:rFonts w:ascii="Calibri" w:hAnsi="Calibri"/>
          <w:color w:val="525866"/>
          <w:sz w:val="22"/>
        </w:rPr>
        <w:t>Source: Visible Alpha consensus data as of July 20,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COF has significantly </w:t>
      </w:r>
      <w:r>
        <w:rPr>
          <w:rFonts w:ascii="Calibri" w:hAnsi="Calibri"/>
          <w:b/>
          <w:color w:val="525866"/>
          <w:sz w:val="22"/>
        </w:rPr>
        <w:t>underperformed</w:t>
      </w:r>
      <w:r>
        <w:rPr>
          <w:rFonts w:ascii="Calibri" w:hAnsi="Calibri"/>
          <w:color w:val="525866"/>
          <w:sz w:val="22"/>
        </w:rPr>
        <w:t xml:space="preserve"> both the XLF Financials ETF (+7.2%) and the S&amp;P 500 (+5.4%) since Q1 2026 earnings on April 21, returning only +2.1% through July 20, 2026. This relative underperformance — despite a constructive credit narrative from management — suggests the market remains skeptical of near-term EPS delivery given Brex integration costs and marketing step-up, and leaves room for a positive re-rating if Q2 credit metrics surprise to the upside.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COF vs. XLF (Financials ETF) vs. S&amp;P 500 (SPY) — Indexed to 100 at Q1 2026 Earnings (Apr 21, 2026). Source: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COF</w:t>
            </w:r>
          </w:p>
        </w:tc>
        <w:tc>
          <w:tcPr>
            <w:tcW w:type="dxa" w:w="1728"/>
            <w:shd w:val="clear" w:color="auto" w:fill="3B4259"/>
          </w:tcPr>
          <w:p>
            <w:r>
              <w:rPr>
                <w:rFonts w:ascii="Calibri" w:hAnsi="Calibri"/>
                <w:b/>
                <w:color w:val="FFFFFF"/>
                <w:sz w:val="22"/>
              </w:rPr>
              <w:t>XLF (Financials ETF)</w:t>
            </w:r>
          </w:p>
        </w:tc>
        <w:tc>
          <w:tcPr>
            <w:tcW w:type="dxa" w:w="1728"/>
            <w:shd w:val="clear" w:color="auto" w:fill="3B4259"/>
          </w:tcPr>
          <w:p>
            <w:r>
              <w:rPr>
                <w:rFonts w:ascii="Calibri" w:hAnsi="Calibri"/>
                <w:b/>
                <w:color w:val="FFFFFF"/>
                <w:sz w:val="22"/>
              </w:rPr>
              <w:t>S&amp;P 500 (SPY)</w:t>
            </w:r>
          </w:p>
        </w:tc>
        <w:tc>
          <w:tcPr>
            <w:tcW w:type="dxa" w:w="1728"/>
          </w:tcPr>
          <w:p/>
        </w:tc>
      </w:tr>
      <w:tr>
        <w:tc>
          <w:tcPr>
            <w:tcW w:type="dxa" w:w="1728"/>
          </w:tcPr>
          <w:p>
            <w:r>
              <w:rPr>
                <w:rFonts w:ascii="Calibri" w:hAnsi="Calibri"/>
                <w:sz w:val="22"/>
              </w:rPr>
              <w:t>Price at Q1 Earnings (Apr 21, 2026)</w:t>
            </w:r>
          </w:p>
        </w:tc>
        <w:tc>
          <w:tcPr>
            <w:tcW w:type="dxa" w:w="1728"/>
          </w:tcPr>
          <w:p>
            <w:r>
              <w:rPr>
                <w:rFonts w:ascii="Calibri" w:hAnsi="Calibri"/>
                <w:sz w:val="22"/>
              </w:rPr>
              <w:t>$202.50</w:t>
            </w:r>
          </w:p>
        </w:tc>
        <w:tc>
          <w:tcPr>
            <w:tcW w:type="dxa" w:w="1728"/>
          </w:tcPr>
          <w:p>
            <w:r>
              <w:rPr>
                <w:rFonts w:ascii="Calibri" w:hAnsi="Calibri"/>
                <w:sz w:val="22"/>
              </w:rPr>
              <w:t>$52.30</w:t>
            </w:r>
          </w:p>
        </w:tc>
        <w:tc>
          <w:tcPr>
            <w:tcW w:type="dxa" w:w="1728"/>
          </w:tcPr>
          <w:p>
            <w:r>
              <w:rPr>
                <w:rFonts w:ascii="Calibri" w:hAnsi="Calibri"/>
                <w:sz w:val="22"/>
              </w:rPr>
              <w:t>$704.08</w:t>
            </w:r>
          </w:p>
        </w:tc>
        <w:tc>
          <w:tcPr>
            <w:tcW w:type="dxa" w:w="1728"/>
          </w:tcPr>
        </w:tc>
      </w:tr>
      <w:tr>
        <w:tc>
          <w:tcPr>
            <w:tcW w:type="dxa" w:w="1728"/>
          </w:tcPr>
          <w:p>
            <w:r>
              <w:rPr>
                <w:rFonts w:ascii="Calibri" w:hAnsi="Calibri"/>
                <w:sz w:val="22"/>
              </w:rPr>
              <w:t>Price as of Jul 20, 2026</w:t>
            </w:r>
          </w:p>
        </w:tc>
        <w:tc>
          <w:tcPr>
            <w:tcW w:type="dxa" w:w="1728"/>
          </w:tcPr>
          <w:p>
            <w:r>
              <w:rPr>
                <w:rFonts w:ascii="Calibri" w:hAnsi="Calibri"/>
                <w:sz w:val="22"/>
              </w:rPr>
              <w:t>$206.77</w:t>
            </w:r>
          </w:p>
        </w:tc>
        <w:tc>
          <w:tcPr>
            <w:tcW w:type="dxa" w:w="1728"/>
          </w:tcPr>
          <w:p>
            <w:r>
              <w:rPr>
                <w:rFonts w:ascii="Calibri" w:hAnsi="Calibri"/>
                <w:sz w:val="22"/>
              </w:rPr>
              <w:t>$56.04</w:t>
            </w:r>
          </w:p>
        </w:tc>
        <w:tc>
          <w:tcPr>
            <w:tcW w:type="dxa" w:w="1728"/>
          </w:tcPr>
          <w:p>
            <w:r>
              <w:rPr>
                <w:rFonts w:ascii="Calibri" w:hAnsi="Calibri"/>
                <w:sz w:val="22"/>
              </w:rPr>
              <w:t>$742.09</w:t>
            </w:r>
          </w:p>
        </w:tc>
        <w:tc>
          <w:tcPr>
            <w:tcW w:type="dxa" w:w="1728"/>
          </w:tcPr>
        </w:tc>
      </w:tr>
      <w:tr>
        <w:tc>
          <w:tcPr>
            <w:tcW w:type="dxa" w:w="1728"/>
          </w:tcPr>
          <w:p>
            <w:r>
              <w:rPr>
                <w:rFonts w:ascii="Calibri" w:hAnsi="Calibri"/>
                <w:sz w:val="22"/>
              </w:rPr>
              <w:t>Return Since Q1 Earnings</w:t>
            </w:r>
          </w:p>
        </w:tc>
        <w:tc>
          <w:tcPr>
            <w:tcW w:type="dxa" w:w="1728"/>
          </w:tcPr>
          <w:p>
            <w:r>
              <w:rPr>
                <w:rFonts w:ascii="Calibri" w:hAnsi="Calibri"/>
                <w:b/>
                <w:color w:val="E5484D"/>
                <w:sz w:val="22"/>
              </w:rPr>
              <w:t>+2.1%</w:t>
            </w:r>
          </w:p>
        </w:tc>
        <w:tc>
          <w:tcPr>
            <w:tcW w:type="dxa" w:w="1728"/>
          </w:tcPr>
          <w:p>
            <w:r>
              <w:rPr>
                <w:rFonts w:ascii="Calibri" w:hAnsi="Calibri"/>
                <w:sz w:val="22"/>
              </w:rPr>
              <w:t>+7.2%</w:t>
            </w:r>
          </w:p>
        </w:tc>
        <w:tc>
          <w:tcPr>
            <w:tcW w:type="dxa" w:w="1728"/>
          </w:tcPr>
          <w:p>
            <w:r>
              <w:rPr>
                <w:rFonts w:ascii="Calibri" w:hAnsi="Calibri"/>
                <w:sz w:val="22"/>
              </w:rPr>
              <w:t>+5.4%</w:t>
            </w:r>
          </w:p>
        </w:tc>
        <w:tc>
          <w:tcPr>
            <w:tcW w:type="dxa" w:w="1728"/>
          </w:tcPr>
        </w:tc>
      </w:tr>
      <w:tr>
        <w:tc>
          <w:tcPr>
            <w:tcW w:type="dxa" w:w="1728"/>
          </w:tcPr>
          <w:p>
            <w:r>
              <w:rPr>
                <w:rFonts w:ascii="Calibri" w:hAnsi="Calibri"/>
                <w:sz w:val="22"/>
              </w:rPr>
              <w:t>52-Week Range</w:t>
            </w:r>
          </w:p>
        </w:tc>
        <w:tc>
          <w:tcPr>
            <w:tcW w:type="dxa" w:w="1728"/>
          </w:tcPr>
          <w:p>
            <w:r>
              <w:rPr>
                <w:rFonts w:ascii="Calibri" w:hAnsi="Calibri"/>
                <w:sz w:val="22"/>
              </w:rPr>
              <w:t>$175 – $260</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r>
        <w:tc>
          <w:tcPr>
            <w:tcW w:type="dxa" w:w="1728"/>
          </w:tcPr>
          <w:p>
            <w:r>
              <w:rPr>
                <w:rFonts w:ascii="Calibri" w:hAnsi="Calibri"/>
                <w:sz w:val="22"/>
              </w:rPr>
              <w:t>Analyst Consensus Price Target</w:t>
            </w:r>
          </w:p>
        </w:tc>
        <w:tc>
          <w:tcPr>
            <w:tcW w:type="dxa" w:w="1728"/>
          </w:tcPr>
          <w:p>
            <w:r>
              <w:rPr>
                <w:rFonts w:ascii="Calibri" w:hAnsi="Calibri"/>
                <w:sz w:val="22"/>
              </w:rPr>
              <w:t>$259.91 (avg); $310 high; $222 low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r>
        <w:tc>
          <w:tcPr>
            <w:tcW w:type="dxa" w:w="1728"/>
          </w:tcPr>
          <w:p>
            <w:r>
              <w:rPr>
                <w:rFonts w:ascii="Calibri" w:hAnsi="Calibri"/>
                <w:sz w:val="22"/>
              </w:rPr>
              <w:t>Implied Upside to Consensus Target</w:t>
            </w:r>
          </w:p>
        </w:tc>
        <w:tc>
          <w:tcPr>
            <w:tcW w:type="dxa" w:w="1728"/>
          </w:tcPr>
          <w:p>
            <w:r>
              <w:rPr>
                <w:rFonts w:ascii="Calibri" w:hAnsi="Calibri"/>
                <w:sz w:val="22"/>
              </w:rPr>
              <w:t>~25.7% from $206.77</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bl>
    <w:p>
      <w:r>
        <w:rPr>
          <w:rFonts w:ascii="Calibri" w:hAnsi="Calibri"/>
          <w:b/>
          <w:color w:val="525866"/>
          <w:sz w:val="22"/>
        </w:rPr>
        <w:t xml:space="preserve">Notable price action: </w:t>
      </w:r>
      <w:r>
        <w:rPr>
          <w:rFonts w:ascii="Calibri" w:hAnsi="Calibri"/>
          <w:color w:val="525866"/>
          <w:sz w:val="22"/>
        </w:rPr>
        <w:t>COF staged a sharp rally on June 15, 2026 (+5.6% in a single session), likely driven by improving credit data or sector rotation into financials. The stock reached a recent high of $211.93 on July 16 before pulling back to $206.77 by July 20. Recent analyst activity has been constructive: JPMorgan boosted its target from $215 to $245 (July 13), HSBC upgraded from Hold to Buy with a $229 target (July 12), and Piper Sandler initiated at Overweight with a $254 target (June 24). Source: Stock Price Data; MarketBeat analyst ratings.</w:t>
      </w:r>
    </w:p>
    <w:p>
      <w:r>
        <w:br w:type="page"/>
      </w:r>
    </w:p>
    <w:p>
      <w:pPr>
        <w:pStyle w:val="Heading2"/>
      </w:pPr>
      <w:r>
        <w:rPr>
          <w:rFonts w:ascii="Calibri" w:hAnsi="Calibri"/>
          <w:b/>
          <w:color w:val="3B4259"/>
          <w:sz w:val="28"/>
        </w:rPr>
        <w:t>6. Peer Commentaries — Read-Through for COF Q2 2026</w:t>
      </w:r>
    </w:p>
    <w:p>
      <w:r>
        <w:rPr>
          <w:rFonts w:ascii="Calibri" w:hAnsi="Calibri"/>
          <w:b/>
          <w:color w:val="525866"/>
          <w:sz w:val="22"/>
        </w:rPr>
        <w:t xml:space="preserve">Key Takeaway: </w:t>
      </w:r>
      <w:r>
        <w:rPr>
          <w:rFonts w:ascii="Calibri" w:hAnsi="Calibri"/>
          <w:color w:val="525866"/>
          <w:sz w:val="22"/>
        </w:rPr>
        <w:t>Peer Q1 2026 earnings calls (reported April–May 2026, covering the current Q2 2026 reporting period for COF) paint a broadly constructive picture for consumer credit heading into Q2 — AXP, SYF, and ALLY all flagged stable-to-improving credit trends and resilient consumer spending, while BFH and OMF offered more nuanced views on lower-income consumer stress. The read-through is net positive for COF’s domestic card charge-off trajectory, though marketing and expense pressure is a common theme across the sector.</w:t>
      </w:r>
    </w:p>
    <w:p>
      <w:pPr>
        <w:pStyle w:val="Heading3"/>
      </w:pPr>
      <w:r>
        <w:rPr>
          <w:rFonts w:ascii="Calibri" w:hAnsi="Calibri"/>
          <w:b/>
          <w:color w:val="3B4259"/>
          <w:sz w:val="24"/>
        </w:rPr>
        <w:t>American Express (AXP) — Q1 2026 Earnings Call (April 23, 2026)</w:t>
      </w:r>
    </w:p>
    <w:p>
      <w:r>
        <w:rPr>
          <w:rFonts w:ascii="Calibri" w:hAnsi="Calibri"/>
          <w:color w:val="525866"/>
          <w:sz w:val="22"/>
        </w:rPr>
        <w:t>Reporting Period Covered: Q1 2026 (Jan–Mar 2026); forward commentary applicable to Q2 2026</w:t>
      </w:r>
    </w:p>
    <w:p>
      <w:r>
        <w:rPr>
          <w:rFonts w:ascii="Calibri" w:hAnsi="Calibri"/>
          <w:b/>
          <w:color w:val="525866"/>
          <w:sz w:val="22"/>
        </w:rPr>
        <w:t xml:space="preserve">Credit Quality &amp; Consumer Health: </w:t>
      </w:r>
      <w:r>
        <w:rPr>
          <w:rFonts w:ascii="Calibri" w:hAnsi="Calibri"/>
          <w:color w:val="525866"/>
          <w:sz w:val="22"/>
        </w:rPr>
        <w:t>AXP management reported continued strong credit performance in Q1 2026, with net write-off rates and delinquency rates remaining near historically low levels for their premium cardholder base. Management expressed confidence that their spend-centric, premium customer model continues to insulate them from broader consumer stress. Billed business growth remained solid, with no signs of spending deceleration heading into Q2. AXP’s premium customer base (higher FICO, higher income) is a different credit cohort than COF’s broader domestic card portfolio, but the absence of any credit deterioration signal at the high end is a positive read-through for overall consumer health.</w:t>
      </w:r>
    </w:p>
    <w:p>
      <w:r>
        <w:rPr>
          <w:rFonts w:ascii="Calibri" w:hAnsi="Calibri"/>
          <w:b/>
          <w:color w:val="525866"/>
          <w:sz w:val="22"/>
        </w:rPr>
        <w:t xml:space="preserve">Forward Guidance Read-Through for COF: </w:t>
      </w:r>
      <w:r>
        <w:rPr>
          <w:rFonts w:ascii="Calibri" w:hAnsi="Calibri"/>
          <w:color w:val="525866"/>
          <w:sz w:val="22"/>
        </w:rPr>
        <w:t>AXP guided for continued revenue growth and maintained its full-year EPS outlook, signaling confidence in the consumer spending environment through mid-2026. The constructive spending backdrop — particularly in travel and entertainment — is a positive signal for COF’s card purchase volume and interchange revenue in Q2 2026. AXP’s commentary on marketing investment intensity (continuing to invest heavily in card acquisition and premium benefits) is consistent with COF’s own guidance for heavier marketing in Q2+.</w:t>
      </w:r>
    </w:p>
    <w:p>
      <w:r>
        <w:rPr>
          <w:rFonts w:ascii="Calibri" w:hAnsi="Calibri"/>
          <w:b/>
          <w:color w:val="525866"/>
          <w:sz w:val="22"/>
        </w:rPr>
        <w:t xml:space="preserve">COF Read-Through: </w:t>
      </w:r>
      <w:r>
        <w:rPr>
          <w:rFonts w:ascii="Calibri" w:hAnsi="Calibri"/>
          <w:b/>
          <w:color w:val="30A46C"/>
          <w:sz w:val="22"/>
        </w:rPr>
        <w:t>Positive</w:t>
      </w:r>
      <w:r>
        <w:rPr>
          <w:rFonts w:ascii="Calibri" w:hAnsi="Calibri"/>
          <w:color w:val="525866"/>
          <w:sz w:val="22"/>
        </w:rPr>
        <w:t xml:space="preserve"> — Premium consumer resilience and stable credit at AXP supports COF’s constructive delinquency narrative. Spending growth signals are positive for card purchase volume.</w:t>
      </w:r>
    </w:p>
    <w:p>
      <w:pPr>
        <w:pStyle w:val="Heading3"/>
      </w:pPr>
      <w:r>
        <w:rPr>
          <w:rFonts w:ascii="Calibri" w:hAnsi="Calibri"/>
          <w:b/>
          <w:color w:val="3B4259"/>
          <w:sz w:val="24"/>
        </w:rPr>
        <w:t>Synchrony Financial (SYF) — Q1 2026 Earnings Call (April 21, 2026)</w:t>
      </w:r>
    </w:p>
    <w:p>
      <w:r>
        <w:rPr>
          <w:rFonts w:ascii="Calibri" w:hAnsi="Calibri"/>
          <w:color w:val="525866"/>
          <w:sz w:val="22"/>
        </w:rPr>
        <w:t>Reporting Period Covered: Q1 2026 (Jan–Mar 2026); forward commentary applicable to Q2 2026</w:t>
      </w:r>
    </w:p>
    <w:p>
      <w:r>
        <w:rPr>
          <w:rFonts w:ascii="Calibri" w:hAnsi="Calibri"/>
          <w:b/>
          <w:color w:val="525866"/>
          <w:sz w:val="22"/>
        </w:rPr>
        <w:t xml:space="preserve">Credit Quality &amp; Consumer Health: </w:t>
      </w:r>
      <w:r>
        <w:rPr>
          <w:rFonts w:ascii="Calibri" w:hAnsi="Calibri"/>
          <w:color w:val="525866"/>
          <w:sz w:val="22"/>
        </w:rPr>
        <w:t>SYF reported that net charge-off rates improved sequentially in Q1 2026 and that delinquency trends were tracking better than seasonal expectations — a direct and highly relevant read-through for COF’s domestic card portfolio. SYF’s customer base (private label and co-brand cards, more middle-income) is closer to COF’s credit card demographic than AXP’s premium base. Management noted that payment rates remained elevated and that consumers were managing their balances responsibly, with no signs of broad-based stress. SYF also flagged that the tax refund season provided a modest tailwind to Q1 credit metrics, consistent with COF’s own commentary.</w:t>
      </w:r>
    </w:p>
    <w:p>
      <w:r>
        <w:rPr>
          <w:rFonts w:ascii="Calibri" w:hAnsi="Calibri"/>
          <w:b/>
          <w:color w:val="525866"/>
          <w:sz w:val="22"/>
        </w:rPr>
        <w:t xml:space="preserve">Forward Guidance Read-Through for COF: </w:t>
      </w:r>
      <w:r>
        <w:rPr>
          <w:rFonts w:ascii="Calibri" w:hAnsi="Calibri"/>
          <w:color w:val="525866"/>
          <w:sz w:val="22"/>
        </w:rPr>
        <w:t>SYF guided for continued improvement in net charge-off rates through 2026, with the full-year NCO rate expected to trend toward the mid-to-high 5% range for their portfolio. This trajectory is consistent with COF’s consensus domestic card NCO estimate of ~4.90% for Q2 2026 (COF’s portfolio benefits from the Discover mix, which has a lower NCO rate). SYF’s commentary on receivables growth — modest but positive — is a constructive signal for COF’s loan growth outlook.</w:t>
      </w:r>
    </w:p>
    <w:p>
      <w:r>
        <w:rPr>
          <w:rFonts w:ascii="Calibri" w:hAnsi="Calibri"/>
          <w:b/>
          <w:color w:val="525866"/>
          <w:sz w:val="22"/>
        </w:rPr>
        <w:t xml:space="preserve">COF Read-Through: </w:t>
      </w:r>
      <w:r>
        <w:rPr>
          <w:rFonts w:ascii="Calibri" w:hAnsi="Calibri"/>
          <w:b/>
          <w:color w:val="30A46C"/>
          <w:sz w:val="22"/>
        </w:rPr>
        <w:t>Positive</w:t>
      </w:r>
      <w:r>
        <w:rPr>
          <w:rFonts w:ascii="Calibri" w:hAnsi="Calibri"/>
          <w:color w:val="525866"/>
          <w:sz w:val="22"/>
        </w:rPr>
        <w:t xml:space="preserve"> — SYF’s better-than-seasonal delinquency trends and improving NCO trajectory are the most direct peer read-through for COF’s domestic card credit quality in Q2 2026.</w:t>
      </w:r>
    </w:p>
    <w:p>
      <w:pPr>
        <w:pStyle w:val="Heading3"/>
      </w:pPr>
      <w:r>
        <w:rPr>
          <w:rFonts w:ascii="Calibri" w:hAnsi="Calibri"/>
          <w:b/>
          <w:color w:val="3B4259"/>
          <w:sz w:val="24"/>
        </w:rPr>
        <w:t>Ally Financial (ALLY) — Q1 2026 Earnings Call (April 17, 2026)</w:t>
      </w:r>
    </w:p>
    <w:p>
      <w:r>
        <w:rPr>
          <w:rFonts w:ascii="Calibri" w:hAnsi="Calibri"/>
          <w:color w:val="525866"/>
          <w:sz w:val="22"/>
        </w:rPr>
        <w:t>Reporting Period Covered: Q1 2026 (Jan–Mar 2026); forward commentary applicable to Q2 2026</w:t>
      </w:r>
    </w:p>
    <w:p>
      <w:r>
        <w:rPr>
          <w:rFonts w:ascii="Calibri" w:hAnsi="Calibri"/>
          <w:b/>
          <w:color w:val="525866"/>
          <w:sz w:val="22"/>
        </w:rPr>
        <w:t xml:space="preserve">Credit Quality &amp; Auto Lending: </w:t>
      </w:r>
      <w:r>
        <w:rPr>
          <w:rFonts w:ascii="Calibri" w:hAnsi="Calibri"/>
          <w:color w:val="525866"/>
          <w:sz w:val="22"/>
        </w:rPr>
        <w:t>ALLY reported that auto net charge-off rates improved sequentially in Q1 2026 and that delinquency trends were tracking in line with or better than seasonal expectations. Management noted that used vehicle values had stabilized, reducing loss severity, and that their underwriting tightening from 2023–2024 was now flowing through as improved credit performance in the 2024–2025 vintage cohorts. This is a highly relevant read-through for COF’s auto lending segment, which reported a Q1 2026 auto NCO rate of 1.64% (down 18 bps sequentially, in line with seasonality).</w:t>
      </w:r>
    </w:p>
    <w:p>
      <w:r>
        <w:rPr>
          <w:rFonts w:ascii="Calibri" w:hAnsi="Calibri"/>
          <w:b/>
          <w:color w:val="525866"/>
          <w:sz w:val="22"/>
        </w:rPr>
        <w:t xml:space="preserve">Consumer Health Commentary: </w:t>
      </w:r>
      <w:r>
        <w:rPr>
          <w:rFonts w:ascii="Calibri" w:hAnsi="Calibri"/>
          <w:color w:val="525866"/>
          <w:sz w:val="22"/>
        </w:rPr>
        <w:t>ALLY management noted that while lower-income consumers continue to face pressure from elevated living costs and inflation, the overall consumer credit environment is stabilizing. They flagged that unemployment remaining low is the key support for credit performance, consistent with COF’s own framing. ALLY also noted that inflation (not just unemployment) is an important driver of credit health — a nuanced point that COF management also explicitly raised on their Q1 2026 call.</w:t>
      </w:r>
    </w:p>
    <w:p>
      <w:r>
        <w:rPr>
          <w:rFonts w:ascii="Calibri" w:hAnsi="Calibri"/>
          <w:b/>
          <w:color w:val="525866"/>
          <w:sz w:val="22"/>
        </w:rPr>
        <w:t xml:space="preserve">COF Read-Through: </w:t>
      </w:r>
      <w:r>
        <w:rPr>
          <w:rFonts w:ascii="Calibri" w:hAnsi="Calibri"/>
          <w:b/>
          <w:color w:val="30A46C"/>
          <w:sz w:val="22"/>
        </w:rPr>
        <w:t>Positive</w:t>
      </w:r>
      <w:r>
        <w:rPr>
          <w:rFonts w:ascii="Calibri" w:hAnsi="Calibri"/>
          <w:color w:val="525866"/>
          <w:sz w:val="22"/>
        </w:rPr>
        <w:t xml:space="preserve"> — ALLY’s improving auto credit trends are a direct positive read-through for COF’s auto segment. The shared macro framing (low unemployment as key credit support, inflation as a broad but modest headwind) validates COF management’s own narrative.</w:t>
      </w:r>
    </w:p>
    <w:p>
      <w:pPr>
        <w:pStyle w:val="Heading3"/>
      </w:pPr>
      <w:r>
        <w:rPr>
          <w:rFonts w:ascii="Calibri" w:hAnsi="Calibri"/>
          <w:b/>
          <w:color w:val="3B4259"/>
          <w:sz w:val="24"/>
        </w:rPr>
        <w:t>Bread Financial (BFH) — Q1 2026 Earnings Call (April 23, 2026)</w:t>
      </w:r>
    </w:p>
    <w:p>
      <w:r>
        <w:rPr>
          <w:rFonts w:ascii="Calibri" w:hAnsi="Calibri"/>
          <w:color w:val="525866"/>
          <w:sz w:val="22"/>
        </w:rPr>
        <w:t>Reporting Period Covered: Q1 2026 (Jan–Mar 2026); forward commentary applicable to Q2 2026</w:t>
      </w:r>
    </w:p>
    <w:p>
      <w:r>
        <w:rPr>
          <w:rFonts w:ascii="Calibri" w:hAnsi="Calibri"/>
          <w:b/>
          <w:color w:val="525866"/>
          <w:sz w:val="22"/>
        </w:rPr>
        <w:t xml:space="preserve">Credit Quality &amp; Consumer Health: </w:t>
      </w:r>
      <w:r>
        <w:rPr>
          <w:rFonts w:ascii="Calibri" w:hAnsi="Calibri"/>
          <w:color w:val="525866"/>
          <w:sz w:val="22"/>
        </w:rPr>
        <w:t>BFH (formerly Alliance Data Systems) reported a more mixed picture than AXP or SYF. Their private label credit card portfolio, which skews toward lower-income and subprime consumers, showed NCO rates that were elevated relative to pre-pandemic norms, though management noted sequential improvement in delinquency trends in Q1. BFH flagged that their lower-income customer base continues to face pressure from elevated food and housing costs, and that payment rates have declined from peak levels as consumers draw down pandemic-era savings buffers. Management guided for NCO rates to remain elevated in the near term before improving in H2 2026.</w:t>
      </w:r>
    </w:p>
    <w:p>
      <w:r>
        <w:rPr>
          <w:rFonts w:ascii="Calibri" w:hAnsi="Calibri"/>
          <w:b/>
          <w:color w:val="525866"/>
          <w:sz w:val="22"/>
        </w:rPr>
        <w:t xml:space="preserve">Forward Guidance Read-Through for COF: </w:t>
      </w:r>
      <w:r>
        <w:rPr>
          <w:rFonts w:ascii="Calibri" w:hAnsi="Calibri"/>
          <w:color w:val="525866"/>
          <w:sz w:val="22"/>
        </w:rPr>
        <w:t>BFH’s commentary is a cautionary read-through for the lower-income segment of COF’s domestic card portfolio. However, COF’s portfolio is more diversified across income cohorts than BFH’s, and the Discover acquisition has shifted COF’s mix toward higher-quality borrowers. The key takeaway is that lower-income consumer stress remains a real risk, but COF’s portfolio mix mitigates the direct impact.</w:t>
      </w:r>
    </w:p>
    <w:p>
      <w:r>
        <w:rPr>
          <w:rFonts w:ascii="Calibri" w:hAnsi="Calibri"/>
          <w:b/>
          <w:color w:val="525866"/>
          <w:sz w:val="22"/>
        </w:rPr>
        <w:t xml:space="preserve">COF Read-Through: </w:t>
      </w:r>
      <w:r>
        <w:rPr>
          <w:rFonts w:ascii="Calibri" w:hAnsi="Calibri"/>
          <w:b/>
          <w:color w:val="002FA7"/>
          <w:sz w:val="22"/>
        </w:rPr>
        <w:t>Mixed</w:t>
      </w:r>
      <w:r>
        <w:rPr>
          <w:rFonts w:ascii="Calibri" w:hAnsi="Calibri"/>
          <w:color w:val="525866"/>
          <w:sz w:val="22"/>
        </w:rPr>
        <w:t xml:space="preserve"> — Lower-income consumer stress at BFH is a risk flag for the subprime tail of COF’s domestic card book, but COF’s improved portfolio mix post-Discover limits the direct read-through.</w:t>
      </w:r>
    </w:p>
    <w:p>
      <w:pPr>
        <w:pStyle w:val="Heading3"/>
      </w:pPr>
      <w:r>
        <w:rPr>
          <w:rFonts w:ascii="Calibri" w:hAnsi="Calibri"/>
          <w:b/>
          <w:color w:val="3B4259"/>
          <w:sz w:val="24"/>
        </w:rPr>
        <w:t>OneMain Financial (OMF) — Q1 2026 Earnings Call (May 1, 2026)</w:t>
      </w:r>
    </w:p>
    <w:p>
      <w:r>
        <w:rPr>
          <w:rFonts w:ascii="Calibri" w:hAnsi="Calibri"/>
          <w:color w:val="525866"/>
          <w:sz w:val="22"/>
        </w:rPr>
        <w:t>Reporting Period Covered: Q1 2026 (Jan–Mar 2026); forward commentary applicable to Q2 2026</w:t>
      </w:r>
    </w:p>
    <w:p>
      <w:r>
        <w:rPr>
          <w:rFonts w:ascii="Calibri" w:hAnsi="Calibri"/>
          <w:b/>
          <w:color w:val="525866"/>
          <w:sz w:val="22"/>
        </w:rPr>
        <w:t xml:space="preserve">Credit Quality &amp; Consumer Health: </w:t>
      </w:r>
      <w:r>
        <w:rPr>
          <w:rFonts w:ascii="Calibri" w:hAnsi="Calibri"/>
          <w:color w:val="525866"/>
          <w:sz w:val="22"/>
        </w:rPr>
        <w:t>OMF, which focuses on non-prime personal loans and auto finance, reported that credit performance in Q1 2026 was broadly in line with expectations, with NCO rates stabilizing after elevated levels in 2024–2025. Management noted that their non-prime customer base continues to face financial stress from elevated living costs, but that the labor market’s resilience is providing a floor. OMF flagged that origination volumes were growing as they leaned into demand from consumers who are underserved by traditional banks — a segment that COF also serves through its domestic card business.</w:t>
      </w:r>
    </w:p>
    <w:p>
      <w:r>
        <w:rPr>
          <w:rFonts w:ascii="Calibri" w:hAnsi="Calibri"/>
          <w:b/>
          <w:color w:val="525866"/>
          <w:sz w:val="22"/>
        </w:rPr>
        <w:t xml:space="preserve">Forward Guidance Read-Through for COF: </w:t>
      </w:r>
      <w:r>
        <w:rPr>
          <w:rFonts w:ascii="Calibri" w:hAnsi="Calibri"/>
          <w:color w:val="525866"/>
          <w:sz w:val="22"/>
        </w:rPr>
        <w:t>OMF’s commentary on non-prime consumer stress is the most cautionary peer read-through for COF’s subprime card exposure. However, OMF’s stabilizing NCO trend (rather than deteriorating) is a net positive signal. OMF also noted that the tax refund season provided a meaningful tailwind to Q1 credit metrics, raising the question of whether Q2 will see some reversal — a risk that COF management explicitly addressed by arguing the improvement transcends the tax refund effect.</w:t>
      </w:r>
    </w:p>
    <w:p>
      <w:r>
        <w:rPr>
          <w:rFonts w:ascii="Calibri" w:hAnsi="Calibri"/>
          <w:b/>
          <w:color w:val="525866"/>
          <w:sz w:val="22"/>
        </w:rPr>
        <w:t xml:space="preserve">COF Read-Through: </w:t>
      </w:r>
      <w:r>
        <w:rPr>
          <w:rFonts w:ascii="Calibri" w:hAnsi="Calibri"/>
          <w:b/>
          <w:color w:val="002FA7"/>
          <w:sz w:val="22"/>
        </w:rPr>
        <w:t>Cautiously Positive</w:t>
      </w:r>
      <w:r>
        <w:rPr>
          <w:rFonts w:ascii="Calibri" w:hAnsi="Calibri"/>
          <w:color w:val="525866"/>
          <w:sz w:val="22"/>
        </w:rPr>
        <w:t xml:space="preserve"> — OMF’s stabilizing (not deteriorating) non-prime credit trends are a net positive, but the tax refund tailwind question is a relevant risk for COF’s Q2 domestic card NCO rate.</w:t>
      </w:r>
    </w:p>
    <w:p>
      <w:pPr>
        <w:pStyle w:val="Heading3"/>
      </w:pPr>
      <w:r>
        <w:rPr>
          <w:rFonts w:ascii="Calibri" w:hAnsi="Calibri"/>
          <w:b/>
          <w:color w:val="3B4259"/>
          <w:sz w:val="24"/>
        </w:rPr>
        <w:t>Visa (V) — Q2 FY2026 Earnings Call (April 28, 2026)</w:t>
      </w:r>
    </w:p>
    <w:p>
      <w:r>
        <w:rPr>
          <w:rFonts w:ascii="Calibri" w:hAnsi="Calibri"/>
          <w:color w:val="525866"/>
          <w:sz w:val="22"/>
        </w:rPr>
        <w:t>Reporting Period Covered: Visa’s fiscal Q2 2026 (Jan–Mar 2026); forward commentary applicable to COF’s Q2 2026 (Apr–Jun 2026)</w:t>
      </w:r>
    </w:p>
    <w:p>
      <w:r>
        <w:rPr>
          <w:rFonts w:ascii="Calibri" w:hAnsi="Calibri"/>
          <w:b/>
          <w:color w:val="525866"/>
          <w:sz w:val="22"/>
        </w:rPr>
        <w:t xml:space="preserve">Consumer Spending &amp; Payment Volume: </w:t>
      </w:r>
      <w:r>
        <w:rPr>
          <w:rFonts w:ascii="Calibri" w:hAnsi="Calibri"/>
          <w:color w:val="525866"/>
          <w:sz w:val="22"/>
        </w:rPr>
        <w:t>Visa management expressed strong confidence in the consumer spending environment, stating they “assume the broader consumer spend stability continues from a macro perspective.” CFO Christopher Suh noted that Visa expects “our drivers overall remain resilient and strong” for the rest of the year, with cross-border eCommerce continuing to “grow very well.” Visa raised its full-year net revenue growth guidance to “low double-digit to low teens,” reflecting strong year-to-date performance and increased enthusiasm from clients for the FIFA World Cup. This is a direct positive read-through for COF’s card purchase volume and interchange revenue in Q2 2026.</w:t>
      </w:r>
    </w:p>
    <w:p>
      <w:r>
        <w:rPr>
          <w:rFonts w:ascii="Calibri" w:hAnsi="Calibri"/>
          <w:b/>
          <w:color w:val="525866"/>
          <w:sz w:val="22"/>
        </w:rPr>
        <w:t xml:space="preserve">Fraud &amp; Credit Quality: </w:t>
      </w:r>
      <w:r>
        <w:rPr>
          <w:rFonts w:ascii="Calibri" w:hAnsi="Calibri"/>
          <w:color w:val="525866"/>
          <w:sz w:val="22"/>
        </w:rPr>
        <w:t>Visa CEO Ryan McInerney noted increased demand for Visa’s fraud products, with fraud being a “top 3, top 4 concern” for clients. Visa’s new Large Transaction Model is showing “up to a 5x increase in fraud value capture.” While this is more relevant to Visa’s own value-added services revenue, it signals that the payments ecosystem is investing heavily in fraud prevention — a positive for COF’s network strategy as it integrates the Discover network. Visa also noted that agentic commerce will drive “more transactions that are initiated from authenticated tokens, which will further reduce fraud” — a long-term positive for the industry.</w:t>
      </w:r>
    </w:p>
    <w:p>
      <w:r>
        <w:rPr>
          <w:rFonts w:ascii="Calibri" w:hAnsi="Calibri"/>
          <w:b/>
          <w:color w:val="525866"/>
          <w:sz w:val="22"/>
        </w:rPr>
        <w:t xml:space="preserve">COF Read-Through: </w:t>
      </w:r>
      <w:r>
        <w:rPr>
          <w:rFonts w:ascii="Calibri" w:hAnsi="Calibri"/>
          <w:b/>
          <w:color w:val="30A46C"/>
          <w:sz w:val="22"/>
        </w:rPr>
        <w:t>Positive</w:t>
      </w:r>
      <w:r>
        <w:rPr>
          <w:rFonts w:ascii="Calibri" w:hAnsi="Calibri"/>
          <w:color w:val="525866"/>
          <w:sz w:val="22"/>
        </w:rPr>
        <w:t xml:space="preserve"> — Visa’s constructive consumer spending outlook and raised full-year guidance are the strongest macro read-through for COF’s card purchase volume in Q2 2026. Resilient spending supports interchange revenue and loan growth.</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COF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AXP</w:t>
            </w:r>
          </w:p>
        </w:tc>
        <w:tc>
          <w:tcPr>
            <w:tcW w:type="dxa" w:w="1728"/>
          </w:tcPr>
          <w:p>
            <w:r>
              <w:rPr>
                <w:rFonts w:ascii="Calibri" w:hAnsi="Calibri"/>
                <w:sz w:val="22"/>
              </w:rPr>
              <w:t>Apr 23, 2026</w:t>
            </w:r>
          </w:p>
        </w:tc>
        <w:tc>
          <w:tcPr>
            <w:tcW w:type="dxa" w:w="1728"/>
          </w:tcPr>
          <w:p>
            <w:r>
              <w:rPr>
                <w:rFonts w:ascii="Calibri" w:hAnsi="Calibri"/>
                <w:sz w:val="22"/>
              </w:rPr>
              <w:t>Premium consumer resilient; spending growth solid; marketing investment heavy</w:t>
            </w:r>
          </w:p>
        </w:tc>
        <w:tc>
          <w:tcPr>
            <w:tcW w:type="dxa" w:w="1728"/>
          </w:tcPr>
          <w:p>
            <w:r>
              <w:rPr>
                <w:rFonts w:ascii="Calibri" w:hAnsi="Calibri"/>
                <w:sz w:val="22"/>
              </w:rPr>
              <w:t>Positive for card purchase volume and consumer health narrative</w:t>
            </w:r>
          </w:p>
        </w:tc>
        <w:tc>
          <w:tcPr>
            <w:tcW w:type="dxa" w:w="1728"/>
          </w:tcPr>
          <w:p>
            <w:r>
              <w:rPr>
                <w:rFonts w:ascii="Calibri" w:hAnsi="Calibri"/>
                <w:b/>
                <w:color w:val="30A46C"/>
                <w:sz w:val="22"/>
              </w:rPr>
              <w:t>Positive</w:t>
            </w:r>
          </w:p>
        </w:tc>
      </w:tr>
      <w:tr>
        <w:tc>
          <w:tcPr>
            <w:tcW w:type="dxa" w:w="1728"/>
          </w:tcPr>
          <w:p>
            <w:r>
              <w:rPr>
                <w:rFonts w:ascii="Calibri" w:hAnsi="Calibri"/>
                <w:sz w:val="22"/>
              </w:rPr>
              <w:t>SYF</w:t>
            </w:r>
          </w:p>
        </w:tc>
        <w:tc>
          <w:tcPr>
            <w:tcW w:type="dxa" w:w="1728"/>
          </w:tcPr>
          <w:p>
            <w:r>
              <w:rPr>
                <w:rFonts w:ascii="Calibri" w:hAnsi="Calibri"/>
                <w:sz w:val="22"/>
              </w:rPr>
              <w:t>Apr 21, 2026</w:t>
            </w:r>
          </w:p>
        </w:tc>
        <w:tc>
          <w:tcPr>
            <w:tcW w:type="dxa" w:w="1728"/>
          </w:tcPr>
          <w:p>
            <w:r>
              <w:rPr>
                <w:rFonts w:ascii="Calibri" w:hAnsi="Calibri"/>
                <w:sz w:val="22"/>
              </w:rPr>
              <w:t>NCO rates improving sequentially; delinquencies better than seasonal; payment rates elevated</w:t>
            </w:r>
          </w:p>
        </w:tc>
        <w:tc>
          <w:tcPr>
            <w:tcW w:type="dxa" w:w="1728"/>
          </w:tcPr>
          <w:p>
            <w:r>
              <w:rPr>
                <w:rFonts w:ascii="Calibri" w:hAnsi="Calibri"/>
                <w:sz w:val="22"/>
              </w:rPr>
              <w:t>Most direct credit quality read-through; supports COF domestic card NCO improvement</w:t>
            </w:r>
          </w:p>
        </w:tc>
        <w:tc>
          <w:tcPr>
            <w:tcW w:type="dxa" w:w="1728"/>
          </w:tcPr>
          <w:p>
            <w:r>
              <w:rPr>
                <w:rFonts w:ascii="Calibri" w:hAnsi="Calibri"/>
                <w:b/>
                <w:color w:val="30A46C"/>
                <w:sz w:val="22"/>
              </w:rPr>
              <w:t>Positive</w:t>
            </w:r>
          </w:p>
        </w:tc>
      </w:tr>
      <w:tr>
        <w:tc>
          <w:tcPr>
            <w:tcW w:type="dxa" w:w="1728"/>
          </w:tcPr>
          <w:p>
            <w:r>
              <w:rPr>
                <w:rFonts w:ascii="Calibri" w:hAnsi="Calibri"/>
                <w:sz w:val="22"/>
              </w:rPr>
              <w:t>ALLY</w:t>
            </w:r>
          </w:p>
        </w:tc>
        <w:tc>
          <w:tcPr>
            <w:tcW w:type="dxa" w:w="1728"/>
          </w:tcPr>
          <w:p>
            <w:r>
              <w:rPr>
                <w:rFonts w:ascii="Calibri" w:hAnsi="Calibri"/>
                <w:sz w:val="22"/>
              </w:rPr>
              <w:t>Apr 17, 2026</w:t>
            </w:r>
          </w:p>
        </w:tc>
        <w:tc>
          <w:tcPr>
            <w:tcW w:type="dxa" w:w="1728"/>
          </w:tcPr>
          <w:p>
            <w:r>
              <w:rPr>
                <w:rFonts w:ascii="Calibri" w:hAnsi="Calibri"/>
                <w:sz w:val="22"/>
              </w:rPr>
              <w:t>Auto NCO improving; used vehicle values stable; low unemployment key support</w:t>
            </w:r>
          </w:p>
        </w:tc>
        <w:tc>
          <w:tcPr>
            <w:tcW w:type="dxa" w:w="1728"/>
          </w:tcPr>
          <w:p>
            <w:r>
              <w:rPr>
                <w:rFonts w:ascii="Calibri" w:hAnsi="Calibri"/>
                <w:sz w:val="22"/>
              </w:rPr>
              <w:t>Direct positive for COF auto segment; validates macro credit narrative</w:t>
            </w:r>
          </w:p>
        </w:tc>
        <w:tc>
          <w:tcPr>
            <w:tcW w:type="dxa" w:w="1728"/>
          </w:tcPr>
          <w:p>
            <w:r>
              <w:rPr>
                <w:rFonts w:ascii="Calibri" w:hAnsi="Calibri"/>
                <w:b/>
                <w:color w:val="30A46C"/>
                <w:sz w:val="22"/>
              </w:rPr>
              <w:t>Positive</w:t>
            </w:r>
          </w:p>
        </w:tc>
      </w:tr>
      <w:tr>
        <w:tc>
          <w:tcPr>
            <w:tcW w:type="dxa" w:w="1728"/>
          </w:tcPr>
          <w:p>
            <w:r>
              <w:rPr>
                <w:rFonts w:ascii="Calibri" w:hAnsi="Calibri"/>
                <w:sz w:val="22"/>
              </w:rPr>
              <w:t>BFH</w:t>
            </w:r>
          </w:p>
        </w:tc>
        <w:tc>
          <w:tcPr>
            <w:tcW w:type="dxa" w:w="1728"/>
          </w:tcPr>
          <w:p>
            <w:r>
              <w:rPr>
                <w:rFonts w:ascii="Calibri" w:hAnsi="Calibri"/>
                <w:sz w:val="22"/>
              </w:rPr>
              <w:t>Apr 23, 2026</w:t>
            </w:r>
          </w:p>
        </w:tc>
        <w:tc>
          <w:tcPr>
            <w:tcW w:type="dxa" w:w="1728"/>
          </w:tcPr>
          <w:p>
            <w:r>
              <w:rPr>
                <w:rFonts w:ascii="Calibri" w:hAnsi="Calibri"/>
                <w:sz w:val="22"/>
              </w:rPr>
              <w:t>Lower-income stress elevated; NCO rates high but improving; payment rates declining</w:t>
            </w:r>
          </w:p>
        </w:tc>
        <w:tc>
          <w:tcPr>
            <w:tcW w:type="dxa" w:w="1728"/>
          </w:tcPr>
          <w:p>
            <w:r>
              <w:rPr>
                <w:rFonts w:ascii="Calibri" w:hAnsi="Calibri"/>
                <w:sz w:val="22"/>
              </w:rPr>
              <w:t>Cautionary for COF subprime tail; mitigated by COF’s improved portfolio mix post-Discover</w:t>
            </w:r>
          </w:p>
        </w:tc>
        <w:tc>
          <w:tcPr>
            <w:tcW w:type="dxa" w:w="1728"/>
          </w:tcPr>
          <w:p>
            <w:r>
              <w:rPr>
                <w:rFonts w:ascii="Calibri" w:hAnsi="Calibri"/>
                <w:b/>
                <w:color w:val="002FA7"/>
                <w:sz w:val="22"/>
              </w:rPr>
              <w:t>Mixed</w:t>
            </w:r>
          </w:p>
        </w:tc>
      </w:tr>
      <w:tr>
        <w:tc>
          <w:tcPr>
            <w:tcW w:type="dxa" w:w="1728"/>
          </w:tcPr>
          <w:p>
            <w:r>
              <w:rPr>
                <w:rFonts w:ascii="Calibri" w:hAnsi="Calibri"/>
                <w:sz w:val="22"/>
              </w:rPr>
              <w:t>OMF</w:t>
            </w:r>
          </w:p>
        </w:tc>
        <w:tc>
          <w:tcPr>
            <w:tcW w:type="dxa" w:w="1728"/>
          </w:tcPr>
          <w:p>
            <w:r>
              <w:rPr>
                <w:rFonts w:ascii="Calibri" w:hAnsi="Calibri"/>
                <w:sz w:val="22"/>
              </w:rPr>
              <w:t>May 1, 2026</w:t>
            </w:r>
          </w:p>
        </w:tc>
        <w:tc>
          <w:tcPr>
            <w:tcW w:type="dxa" w:w="1728"/>
          </w:tcPr>
          <w:p>
            <w:r>
              <w:rPr>
                <w:rFonts w:ascii="Calibri" w:hAnsi="Calibri"/>
                <w:sz w:val="22"/>
              </w:rPr>
              <w:t>Non-prime stress persists; NCO stabilizing; tax refund tailwind question for Q2</w:t>
            </w:r>
          </w:p>
        </w:tc>
        <w:tc>
          <w:tcPr>
            <w:tcW w:type="dxa" w:w="1728"/>
          </w:tcPr>
          <w:p>
            <w:r>
              <w:rPr>
                <w:rFonts w:ascii="Calibri" w:hAnsi="Calibri"/>
                <w:sz w:val="22"/>
              </w:rPr>
              <w:t>Stabilizing (not deteriorating) is net positive; tax refund reversal is a Q2 risk</w:t>
            </w:r>
          </w:p>
        </w:tc>
        <w:tc>
          <w:tcPr>
            <w:tcW w:type="dxa" w:w="1728"/>
          </w:tcPr>
          <w:p>
            <w:r>
              <w:rPr>
                <w:rFonts w:ascii="Calibri" w:hAnsi="Calibri"/>
                <w:b/>
                <w:color w:val="002FA7"/>
                <w:sz w:val="22"/>
              </w:rPr>
              <w:t>Cautiously Positive</w:t>
            </w:r>
          </w:p>
        </w:tc>
      </w:tr>
      <w:tr>
        <w:tc>
          <w:tcPr>
            <w:tcW w:type="dxa" w:w="1728"/>
          </w:tcPr>
          <w:p>
            <w:r>
              <w:rPr>
                <w:rFonts w:ascii="Calibri" w:hAnsi="Calibri"/>
                <w:sz w:val="22"/>
              </w:rPr>
              <w:t>V</w:t>
            </w:r>
          </w:p>
        </w:tc>
        <w:tc>
          <w:tcPr>
            <w:tcW w:type="dxa" w:w="1728"/>
          </w:tcPr>
          <w:p>
            <w:r>
              <w:rPr>
                <w:rFonts w:ascii="Calibri" w:hAnsi="Calibri"/>
                <w:sz w:val="22"/>
              </w:rPr>
              <w:t>Apr 28, 2026</w:t>
            </w:r>
          </w:p>
        </w:tc>
        <w:tc>
          <w:tcPr>
            <w:tcW w:type="dxa" w:w="1728"/>
          </w:tcPr>
          <w:p>
            <w:r>
              <w:rPr>
                <w:rFonts w:ascii="Calibri" w:hAnsi="Calibri"/>
                <w:sz w:val="22"/>
              </w:rPr>
              <w:t>Consumer spending resilient; raised full-year revenue guide; cross-border eCommerce strong</w:t>
            </w:r>
          </w:p>
        </w:tc>
        <w:tc>
          <w:tcPr>
            <w:tcW w:type="dxa" w:w="1728"/>
          </w:tcPr>
          <w:p>
            <w:r>
              <w:rPr>
                <w:rFonts w:ascii="Calibri" w:hAnsi="Calibri"/>
                <w:sz w:val="22"/>
              </w:rPr>
              <w:t>Strongest macro spending read-through; positive for COF card purchase volume and interchange</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two most material post-Q1 developments are the formal closing of the Brex acquisition (April 7, 2026) and the associated share registration (April 23, 2026 8-K), which introduces ~10.3M shares of potential selling pressure. Analyst sentiment has turned more constructive in July, with multiple target upgrades ahead of the Q2 print.</w:t>
      </w:r>
    </w:p>
    <w:p>
      <w:pPr>
        <w:pStyle w:val="ListBullet"/>
        <w:ind w:left="360" w:hanging="360"/>
      </w:pPr>
      <w:r>
        <w:rPr>
          <w:rFonts w:ascii="Calibri" w:hAnsi="Calibri"/>
          <w:b/>
          <w:color w:val="525866"/>
          <w:sz w:val="22"/>
        </w:rPr>
        <w:t xml:space="preserve">Brex Acquisition Closed (April 7, 2026): </w:t>
      </w:r>
      <w:r>
        <w:rPr>
          <w:rFonts w:ascii="Calibri" w:hAnsi="Calibri"/>
          <w:color w:val="525866"/>
          <w:sz w:val="22"/>
        </w:rPr>
        <w:t>Capital One completed its acquisition of Brex Inc. on April 7, 2026. Management confirmed they are approximately two months into execution of the integration roadmap as of the Q1 earnings call (April 21). The deal was funded partly in COF stock, with ~10.35M shares issued to Brex selling security holders.</w:t>
      </w:r>
    </w:p>
    <w:p>
      <w:pPr>
        <w:pStyle w:val="ListBullet"/>
        <w:ind w:left="360" w:hanging="360"/>
      </w:pPr>
      <w:r>
        <w:rPr>
          <w:rFonts w:ascii="Calibri" w:hAnsi="Calibri"/>
          <w:b/>
          <w:color w:val="525866"/>
          <w:sz w:val="22"/>
        </w:rPr>
        <w:t xml:space="preserve">8-K Share Registration (April 23, 2026): </w:t>
      </w:r>
      <w:r>
        <w:rPr>
          <w:rFonts w:ascii="Calibri" w:hAnsi="Calibri"/>
          <w:color w:val="525866"/>
          <w:sz w:val="22"/>
        </w:rPr>
        <w:t>COF filed an 8-K registering up to 10,345,906 shares of common stock for resale by Brex selling security holders. This creates a potential overhang as former Brex shareholders may sell into the market. The shares represent approximately 2.7% of COF’s diluted share count and could weigh on the stock if sold in concentrated fashion.</w:t>
      </w:r>
    </w:p>
    <w:p>
      <w:pPr>
        <w:pStyle w:val="ListBullet"/>
        <w:ind w:left="360" w:hanging="360"/>
      </w:pPr>
      <w:r>
        <w:rPr>
          <w:rFonts w:ascii="Calibri" w:hAnsi="Calibri"/>
          <w:b/>
          <w:color w:val="525866"/>
          <w:sz w:val="22"/>
        </w:rPr>
        <w:t xml:space="preserve">Analyst Upgrades &amp; Target Increases (June–July 2026): </w:t>
      </w:r>
      <w:r>
        <w:rPr>
          <w:rFonts w:ascii="Calibri" w:hAnsi="Calibri"/>
          <w:color w:val="525866"/>
          <w:sz w:val="22"/>
        </w:rPr>
        <w:t>Multiple analysts have raised targets or upgraded COF ahead of Q2 earnings: JPMorgan boosted target from $215 to $245 (July 13, Overweight); HSBC upgraded from Hold to Buy with a $229 target (July 12); Piper Sandler initiated at Overweight with a $254 target (June 24); Barclays set a $242 target (July 7); TD Cowen lowered target slightly from $260 to $253 but maintained Buy (July 7); Bank of America lowered target from $234 to $231 but maintained Buy (July 9). Consensus remains firmly in “Moderate Buy” territory with 20 Buys and 4 Holds among 24 analysts.</w:t>
      </w:r>
    </w:p>
    <w:p>
      <w:pPr>
        <w:pStyle w:val="ListBullet"/>
        <w:ind w:left="360" w:hanging="360"/>
      </w:pPr>
      <w:r>
        <w:rPr>
          <w:rFonts w:ascii="Calibri" w:hAnsi="Calibri"/>
          <w:b/>
          <w:color w:val="525866"/>
          <w:sz w:val="22"/>
        </w:rPr>
        <w:t xml:space="preserve">Regulatory Environment: </w:t>
      </w:r>
      <w:r>
        <w:rPr>
          <w:rFonts w:ascii="Calibri" w:hAnsi="Calibri"/>
          <w:color w:val="525866"/>
          <w:sz w:val="22"/>
        </w:rPr>
        <w:t>The proposed 10% credit card interest rate cap and the Credit Card Competition Act remain legislative risks, though neither has advanced materially since Q1 earnings. Management has not changed its posture on these risks.</w:t>
      </w:r>
    </w:p>
    <w:p>
      <w:pPr>
        <w:pStyle w:val="ListBullet"/>
        <w:ind w:left="360" w:hanging="360"/>
      </w:pPr>
      <w:r>
        <w:rPr>
          <w:rFonts w:ascii="Calibri" w:hAnsi="Calibri"/>
          <w:b/>
          <w:color w:val="525866"/>
          <w:sz w:val="22"/>
        </w:rPr>
        <w:t xml:space="preserve">Discover Integration Milestones: </w:t>
      </w:r>
      <w:r>
        <w:rPr>
          <w:rFonts w:ascii="Calibri" w:hAnsi="Calibri"/>
          <w:color w:val="525866"/>
          <w:sz w:val="22"/>
        </w:rPr>
        <w:t>New originations are expected to be fully on Capital One’s platform by September 2026, with the back book migrating by January 2027. Cost synergies remain weighted toward 2027 as they are tied to technology conversions.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2026 earnings has been dominated by routine 10b5-1 plan sales from the General Counsel and other officers — no discretionary open-market purchases or large non-plan sales. Director share awards (routine annual grants) were made in May 2026. The absence of any open-market buying is neutral; the 10b5-1 sales are pre-planned and carry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Insider</w:t>
            </w:r>
          </w:p>
        </w:tc>
        <w:tc>
          <w:tcPr>
            <w:tcW w:type="dxa" w:w="1440"/>
            <w:shd w:val="clear" w:color="auto" w:fill="3B4259"/>
          </w:tcPr>
          <w:p>
            <w:r>
              <w:rPr>
                <w:rFonts w:ascii="Calibri" w:hAnsi="Calibri"/>
                <w:b/>
                <w:color w:val="FFFFFF"/>
                <w:sz w:val="22"/>
              </w:rPr>
              <w:t>Role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Filing Date</w:t>
            </w:r>
          </w:p>
        </w:tc>
        <w:tc>
          <w:tcPr>
            <w:tcW w:type="dxa" w:w="1440"/>
            <w:shd w:val="clear" w:color="auto" w:fill="3B4259"/>
          </w:tcPr>
          <w:p>
            <w:r>
              <w:rPr>
                <w:rFonts w:ascii="Calibri" w:hAnsi="Calibri"/>
                <w:b/>
                <w:color w:val="FFFFFF"/>
                <w:sz w:val="22"/>
              </w:rPr>
              <w:t>10b5-1 Plan?</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Secy.</w:t>
            </w:r>
          </w:p>
        </w:tc>
        <w:tc>
          <w:tcPr>
            <w:tcW w:type="dxa" w:w="1440"/>
          </w:tcPr>
          <w:p>
            <w:r>
              <w:rPr>
                <w:rFonts w:ascii="Calibri" w:hAnsi="Calibri"/>
                <w:sz w:val="22"/>
              </w:rPr>
              <w:t>Sale (Disposition)</w:t>
            </w:r>
          </w:p>
        </w:tc>
        <w:tc>
          <w:tcPr>
            <w:tcW w:type="dxa" w:w="1440"/>
          </w:tcPr>
          <w:p>
            <w:r>
              <w:rPr>
                <w:rFonts w:ascii="Calibri" w:hAnsi="Calibri"/>
                <w:sz w:val="22"/>
              </w:rPr>
              <w:t>3,500</w:t>
            </w:r>
          </w:p>
        </w:tc>
        <w:tc>
          <w:tcPr>
            <w:tcW w:type="dxa" w:w="1440"/>
          </w:tcPr>
          <w:p>
            <w:r>
              <w:rPr>
                <w:rFonts w:ascii="Calibri" w:hAnsi="Calibri"/>
                <w:sz w:val="22"/>
              </w:rPr>
              <w:t>Jul 8, 2026</w:t>
            </w:r>
          </w:p>
        </w:tc>
        <w:tc>
          <w:tcPr>
            <w:tcW w:type="dxa" w:w="1440"/>
          </w:tcPr>
          <w:p>
            <w:r>
              <w:rPr>
                <w:rFonts w:ascii="Calibri" w:hAnsi="Calibri"/>
                <w:sz w:val="22"/>
              </w:rPr>
              <w:t>Yes</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Secy.</w:t>
            </w:r>
          </w:p>
        </w:tc>
        <w:tc>
          <w:tcPr>
            <w:tcW w:type="dxa" w:w="1440"/>
          </w:tcPr>
          <w:p>
            <w:r>
              <w:rPr>
                <w:rFonts w:ascii="Calibri" w:hAnsi="Calibri"/>
                <w:sz w:val="22"/>
              </w:rPr>
              <w:t>Sale (Disposition)</w:t>
            </w:r>
          </w:p>
        </w:tc>
        <w:tc>
          <w:tcPr>
            <w:tcW w:type="dxa" w:w="1440"/>
          </w:tcPr>
          <w:p>
            <w:r>
              <w:rPr>
                <w:rFonts w:ascii="Calibri" w:hAnsi="Calibri"/>
                <w:sz w:val="22"/>
              </w:rPr>
              <w:t>3,500</w:t>
            </w:r>
          </w:p>
        </w:tc>
        <w:tc>
          <w:tcPr>
            <w:tcW w:type="dxa" w:w="1440"/>
          </w:tcPr>
          <w:p>
            <w:r>
              <w:rPr>
                <w:rFonts w:ascii="Calibri" w:hAnsi="Calibri"/>
                <w:sz w:val="22"/>
              </w:rPr>
              <w:t>Jun 3, 2026</w:t>
            </w:r>
          </w:p>
        </w:tc>
        <w:tc>
          <w:tcPr>
            <w:tcW w:type="dxa" w:w="1440"/>
          </w:tcPr>
          <w:p>
            <w:r>
              <w:rPr>
                <w:rFonts w:ascii="Calibri" w:hAnsi="Calibri"/>
                <w:sz w:val="22"/>
              </w:rPr>
              <w:t>Yes</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Secy.</w:t>
            </w:r>
          </w:p>
        </w:tc>
        <w:tc>
          <w:tcPr>
            <w:tcW w:type="dxa" w:w="1440"/>
          </w:tcPr>
          <w:p>
            <w:r>
              <w:rPr>
                <w:rFonts w:ascii="Calibri" w:hAnsi="Calibri"/>
                <w:sz w:val="22"/>
              </w:rPr>
              <w:t>Sale (Disposition)</w:t>
            </w:r>
          </w:p>
        </w:tc>
        <w:tc>
          <w:tcPr>
            <w:tcW w:type="dxa" w:w="1440"/>
          </w:tcPr>
          <w:p>
            <w:r>
              <w:rPr>
                <w:rFonts w:ascii="Calibri" w:hAnsi="Calibri"/>
                <w:sz w:val="22"/>
              </w:rPr>
              <w:t>3,500</w:t>
            </w:r>
          </w:p>
        </w:tc>
        <w:tc>
          <w:tcPr>
            <w:tcW w:type="dxa" w:w="1440"/>
          </w:tcPr>
          <w:p>
            <w:r>
              <w:rPr>
                <w:rFonts w:ascii="Calibri" w:hAnsi="Calibri"/>
                <w:sz w:val="22"/>
              </w:rPr>
              <w:t>May 14, 2026</w:t>
            </w:r>
          </w:p>
        </w:tc>
        <w:tc>
          <w:tcPr>
            <w:tcW w:type="dxa" w:w="1440"/>
          </w:tcPr>
          <w:p>
            <w:r>
              <w:rPr>
                <w:rFonts w:ascii="Calibri" w:hAnsi="Calibri"/>
                <w:sz w:val="22"/>
              </w:rPr>
              <w:t>Yes</w:t>
            </w:r>
          </w:p>
        </w:tc>
      </w:tr>
      <w:tr>
        <w:tc>
          <w:tcPr>
            <w:tcW w:type="dxa" w:w="1440"/>
          </w:tcPr>
          <w:p>
            <w:r>
              <w:rPr>
                <w:rFonts w:ascii="Calibri" w:hAnsi="Calibri"/>
                <w:sz w:val="22"/>
              </w:rPr>
              <w:t>Haggerty, Kaitlin</w:t>
            </w:r>
          </w:p>
        </w:tc>
        <w:tc>
          <w:tcPr>
            <w:tcW w:type="dxa" w:w="1440"/>
          </w:tcPr>
          <w:p>
            <w:r>
              <w:rPr>
                <w:rFonts w:ascii="Calibri" w:hAnsi="Calibri"/>
                <w:sz w:val="22"/>
              </w:rPr>
              <w:t>Chief Human Resources Officer</w:t>
            </w:r>
          </w:p>
        </w:tc>
        <w:tc>
          <w:tcPr>
            <w:tcW w:type="dxa" w:w="1440"/>
          </w:tcPr>
          <w:p>
            <w:r>
              <w:rPr>
                <w:rFonts w:ascii="Calibri" w:hAnsi="Calibri"/>
                <w:sz w:val="22"/>
              </w:rPr>
              <w:t>Sale (Disposition)</w:t>
            </w:r>
          </w:p>
        </w:tc>
        <w:tc>
          <w:tcPr>
            <w:tcW w:type="dxa" w:w="1440"/>
          </w:tcPr>
          <w:p>
            <w:r>
              <w:rPr>
                <w:rFonts w:ascii="Calibri" w:hAnsi="Calibri"/>
                <w:sz w:val="22"/>
              </w:rPr>
              <w:t>1,426 (combined)</w:t>
            </w:r>
          </w:p>
        </w:tc>
        <w:tc>
          <w:tcPr>
            <w:tcW w:type="dxa" w:w="1440"/>
          </w:tcPr>
          <w:p>
            <w:r>
              <w:rPr>
                <w:rFonts w:ascii="Calibri" w:hAnsi="Calibri"/>
                <w:sz w:val="22"/>
              </w:rPr>
              <w:t>May 14, 2026</w:t>
            </w:r>
          </w:p>
        </w:tc>
        <w:tc>
          <w:tcPr>
            <w:tcW w:type="dxa" w:w="1440"/>
          </w:tcPr>
          <w:p>
            <w:r>
              <w:rPr>
                <w:rFonts w:ascii="Calibri" w:hAnsi="Calibri"/>
                <w:sz w:val="22"/>
              </w:rPr>
              <w:t>Yes</w:t>
            </w:r>
          </w:p>
        </w:tc>
      </w:tr>
      <w:tr>
        <w:tc>
          <w:tcPr>
            <w:tcW w:type="dxa" w:w="1440"/>
          </w:tcPr>
          <w:p>
            <w:r>
              <w:rPr>
                <w:rFonts w:ascii="Calibri" w:hAnsi="Calibri"/>
                <w:sz w:val="22"/>
              </w:rPr>
              <w:t>Karam, Celia</w:t>
            </w:r>
          </w:p>
        </w:tc>
        <w:tc>
          <w:tcPr>
            <w:tcW w:type="dxa" w:w="1440"/>
          </w:tcPr>
          <w:p>
            <w:r>
              <w:rPr>
                <w:rFonts w:ascii="Calibri" w:hAnsi="Calibri"/>
                <w:sz w:val="22"/>
              </w:rPr>
              <w:t>President, Retail Bank</w:t>
            </w:r>
          </w:p>
        </w:tc>
        <w:tc>
          <w:tcPr>
            <w:tcW w:type="dxa" w:w="1440"/>
          </w:tcPr>
          <w:p>
            <w:r>
              <w:rPr>
                <w:rFonts w:ascii="Calibri" w:hAnsi="Calibri"/>
                <w:sz w:val="22"/>
              </w:rPr>
              <w:t>Sale (Disposition)</w:t>
            </w:r>
          </w:p>
        </w:tc>
        <w:tc>
          <w:tcPr>
            <w:tcW w:type="dxa" w:w="1440"/>
          </w:tcPr>
          <w:p>
            <w:r>
              <w:rPr>
                <w:rFonts w:ascii="Calibri" w:hAnsi="Calibri"/>
                <w:sz w:val="22"/>
              </w:rPr>
              <w:t>1,749</w:t>
            </w:r>
          </w:p>
        </w:tc>
        <w:tc>
          <w:tcPr>
            <w:tcW w:type="dxa" w:w="1440"/>
          </w:tcPr>
          <w:p>
            <w:r>
              <w:rPr>
                <w:rFonts w:ascii="Calibri" w:hAnsi="Calibri"/>
                <w:sz w:val="22"/>
              </w:rPr>
              <w:t>May 4, 2026</w:t>
            </w:r>
          </w:p>
        </w:tc>
        <w:tc>
          <w:tcPr>
            <w:tcW w:type="dxa" w:w="1440"/>
          </w:tcPr>
          <w:p>
            <w:r>
              <w:rPr>
                <w:rFonts w:ascii="Calibri" w:hAnsi="Calibri"/>
                <w:sz w:val="22"/>
              </w:rPr>
              <w:t>Yes</w:t>
            </w:r>
          </w:p>
        </w:tc>
      </w:tr>
      <w:tr>
        <w:tc>
          <w:tcPr>
            <w:tcW w:type="dxa" w:w="1440"/>
          </w:tcPr>
          <w:p>
            <w:r>
              <w:rPr>
                <w:rFonts w:ascii="Calibri" w:hAnsi="Calibri"/>
                <w:sz w:val="22"/>
              </w:rPr>
              <w:t>Multiple Directors (11)</w:t>
            </w:r>
          </w:p>
        </w:tc>
        <w:tc>
          <w:tcPr>
            <w:tcW w:type="dxa" w:w="1440"/>
          </w:tcPr>
          <w:p>
            <w:r>
              <w:rPr>
                <w:rFonts w:ascii="Calibri" w:hAnsi="Calibri"/>
                <w:sz w:val="22"/>
              </w:rPr>
              <w:t>Board of Directors</w:t>
            </w:r>
          </w:p>
        </w:tc>
        <w:tc>
          <w:tcPr>
            <w:tcW w:type="dxa" w:w="1440"/>
          </w:tcPr>
          <w:p>
            <w:r>
              <w:rPr>
                <w:rFonts w:ascii="Calibri" w:hAnsi="Calibri"/>
                <w:sz w:val="22"/>
              </w:rPr>
              <w:t>Award (Acquisition)</w:t>
            </w:r>
          </w:p>
        </w:tc>
        <w:tc>
          <w:tcPr>
            <w:tcW w:type="dxa" w:w="1440"/>
          </w:tcPr>
          <w:p>
            <w:r>
              <w:rPr>
                <w:rFonts w:ascii="Calibri" w:hAnsi="Calibri"/>
                <w:sz w:val="22"/>
              </w:rPr>
              <w:t>1,294 each (routine annual grant)</w:t>
            </w:r>
          </w:p>
        </w:tc>
        <w:tc>
          <w:tcPr>
            <w:tcW w:type="dxa" w:w="1440"/>
          </w:tcPr>
          <w:p>
            <w:r>
              <w:rPr>
                <w:rFonts w:ascii="Calibri" w:hAnsi="Calibri"/>
                <w:sz w:val="22"/>
              </w:rPr>
              <w:t>May 12, 2026</w:t>
            </w:r>
          </w:p>
        </w:tc>
        <w:tc>
          <w:tcPr>
            <w:tcW w:type="dxa" w:w="1440"/>
          </w:tcPr>
          <w:p>
            <w:r>
              <w:rPr>
                <w:rFonts w:ascii="Calibri" w:hAnsi="Calibri"/>
                <w:sz w:val="22"/>
              </w:rPr>
              <w:t>N/A (award)</w:t>
            </w:r>
          </w:p>
        </w:tc>
      </w:tr>
    </w:tbl>
    <w:p>
      <w:r>
        <w:rPr>
          <w:rFonts w:ascii="Calibri" w:hAnsi="Calibri"/>
          <w:b/>
          <w:color w:val="525866"/>
          <w:sz w:val="22"/>
        </w:rPr>
        <w:t xml:space="preserve">Interpretation: </w:t>
      </w:r>
      <w:r>
        <w:rPr>
          <w:rFonts w:ascii="Calibri" w:hAnsi="Calibri"/>
          <w:color w:val="525866"/>
          <w:sz w:val="22"/>
        </w:rPr>
        <w:t>All officer sales are under pre-established 10b5-1 trading plans, which are set up in advance and executed automatically — they carry no negative informational signal about management’s view of the stock. The General Counsel’s monthly sales of 3,500 shares appear to be a regular, systematic liquidation program. The director share awards in May 2026 are routine annual equity compensation grants. There are no open-market discretionary purchases or non-plan sales in the period, which is neutral. Source: Insider Transaction Data (SEC Form 4 filings).</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Marketing Expense Upside Risk: </w:t>
      </w:r>
      <w:r>
        <w:rPr>
          <w:rFonts w:ascii="Calibri" w:hAnsi="Calibri"/>
          <w:color w:val="525866"/>
          <w:sz w:val="22"/>
        </w:rPr>
        <w:t>Management explicitly guided for heavier marketing in Q2+ after a seasonally light Q1. If marketing comes in above the $1.70B consensus estimate, it will pressure the efficiency ratio and EPS even if credit metrics cooperate. This is the single biggest near-term EPS risk.</w:t>
      </w:r>
    </w:p>
    <w:p>
      <w:pPr>
        <w:pStyle w:val="ListBullet"/>
        <w:ind w:left="360" w:hanging="360"/>
      </w:pPr>
      <w:r>
        <w:rPr>
          <w:rFonts w:ascii="Calibri" w:hAnsi="Calibri"/>
          <w:b/>
          <w:color w:val="525866"/>
          <w:sz w:val="22"/>
        </w:rPr>
        <w:t xml:space="preserve">Brex/Hopper Efficiency Ratio Drag: </w:t>
      </w:r>
      <w:r>
        <w:rPr>
          <w:rFonts w:ascii="Calibri" w:hAnsi="Calibri"/>
          <w:color w:val="525866"/>
          <w:sz w:val="22"/>
        </w:rPr>
        <w:t>Brex and Hopper were not in the Q1 efficiency ratio run-rate. Their inclusion in Q2 will add expense pressure. The magnitude is uncertain as management has not provided specific guidance on the Brex/Hopper cost contribution.</w:t>
      </w:r>
    </w:p>
    <w:p>
      <w:pPr>
        <w:pStyle w:val="ListBullet"/>
        <w:ind w:left="360" w:hanging="360"/>
      </w:pPr>
      <w:r>
        <w:rPr>
          <w:rFonts w:ascii="Calibri" w:hAnsi="Calibri"/>
          <w:b/>
          <w:color w:val="525866"/>
          <w:sz w:val="22"/>
        </w:rPr>
        <w:t xml:space="preserve">Tax Refund Reversal Risk: </w:t>
      </w:r>
      <w:r>
        <w:rPr>
          <w:rFonts w:ascii="Calibri" w:hAnsi="Calibri"/>
          <w:color w:val="525866"/>
          <w:sz w:val="22"/>
        </w:rPr>
        <w:t>Multiple peers (OMF, SYF) noted that Q1 credit metrics benefited from the tax refund season. COF management argued the improvement transcends this effect, but Q2 will be the first test of that thesis without the refund tailwind.</w:t>
      </w:r>
    </w:p>
    <w:p>
      <w:pPr>
        <w:pStyle w:val="ListBullet"/>
        <w:ind w:left="360" w:hanging="360"/>
      </w:pPr>
      <w:r>
        <w:rPr>
          <w:rFonts w:ascii="Calibri" w:hAnsi="Calibri"/>
          <w:b/>
          <w:color w:val="525866"/>
          <w:sz w:val="22"/>
        </w:rPr>
        <w:t xml:space="preserve">Macro / Tariff Uncertainty: </w:t>
      </w:r>
      <w:r>
        <w:rPr>
          <w:rFonts w:ascii="Calibri" w:hAnsi="Calibri"/>
          <w:color w:val="525866"/>
          <w:sz w:val="22"/>
        </w:rPr>
        <w:t>Elevated economic uncertainty from tariff policy could weigh on consumer confidence and spending, and could prompt a more conservative reserve build. COF management noted that inflation (not just unemployment) is an important driver of credit health.</w:t>
      </w:r>
    </w:p>
    <w:p>
      <w:pPr>
        <w:pStyle w:val="ListBullet"/>
        <w:ind w:left="360" w:hanging="360"/>
      </w:pPr>
      <w:r>
        <w:rPr>
          <w:rFonts w:ascii="Calibri" w:hAnsi="Calibri"/>
          <w:b/>
          <w:color w:val="525866"/>
          <w:sz w:val="22"/>
        </w:rPr>
        <w:t xml:space="preserve">Brex Share Overhang: </w:t>
      </w:r>
      <w:r>
        <w:rPr>
          <w:rFonts w:ascii="Calibri" w:hAnsi="Calibri"/>
          <w:color w:val="525866"/>
          <w:sz w:val="22"/>
        </w:rPr>
        <w:t>The registration of ~10.35M shares for resale by Brex selling security holders (April 23, 2026 8-K) creates a potential supply overhang. If former Brex shareholders sell aggressively, it could weigh on the stock around earnings.</w:t>
      </w:r>
    </w:p>
    <w:p>
      <w:pPr>
        <w:pStyle w:val="ListBullet"/>
        <w:ind w:left="360" w:hanging="360"/>
      </w:pPr>
      <w:r>
        <w:rPr>
          <w:rFonts w:ascii="Calibri" w:hAnsi="Calibri"/>
          <w:b/>
          <w:color w:val="525866"/>
          <w:sz w:val="22"/>
        </w:rPr>
        <w:t xml:space="preserve">Regulatory Risk: </w:t>
      </w:r>
      <w:r>
        <w:rPr>
          <w:rFonts w:ascii="Calibri" w:hAnsi="Calibri"/>
          <w:color w:val="525866"/>
          <w:sz w:val="22"/>
        </w:rPr>
        <w:t>The proposed 10% credit card interest rate cap and the Credit Card Competition Act remain tail risks. Neither has advanced materially, but any legislative progress would be a significant negative for COF’s revenue model.</w:t>
      </w:r>
    </w:p>
    <w:p>
      <w:pPr>
        <w:pStyle w:val="ListBullet"/>
        <w:ind w:left="360" w:hanging="360"/>
      </w:pPr>
      <w:r>
        <w:rPr>
          <w:rFonts w:ascii="Calibri" w:hAnsi="Calibri"/>
          <w:b/>
          <w:color w:val="525866"/>
          <w:sz w:val="22"/>
        </w:rPr>
        <w:t xml:space="preserve">Discover Integration Execution: </w:t>
      </w:r>
      <w:r>
        <w:rPr>
          <w:rFonts w:ascii="Calibri" w:hAnsi="Calibri"/>
          <w:color w:val="525866"/>
          <w:sz w:val="22"/>
        </w:rPr>
        <w:t>The September 2026 new originations migration and January 2027 back book migration are critical milestones. Any delays or execution issues could push out the cost synergy timeline and weigh on the 2027 EPS outlook.</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