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Capital One Financial Corporation (COF)</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COF</w:t>
            </w:r>
          </w:p>
        </w:tc>
        <w:tc>
          <w:tcPr>
            <w:tcW w:type="dxa" w:w="2160"/>
          </w:tcPr>
          <w:p>
            <w:r>
              <w:rPr>
                <w:rFonts w:ascii="Calibri" w:hAnsi="Calibri"/>
                <w:b/>
                <w:sz w:val="22"/>
              </w:rPr>
              <w:t>Earnings Date</w:t>
            </w:r>
          </w:p>
        </w:tc>
        <w:tc>
          <w:tcPr>
            <w:tcW w:type="dxa" w:w="2160"/>
          </w:tcPr>
          <w:p>
            <w:r>
              <w:rPr>
                <w:rFonts w:ascii="Calibri" w:hAnsi="Calibri"/>
                <w:sz w:val="22"/>
              </w:rPr>
              <w:t>July 21, 2026 (After Close)</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Prepared</w:t>
            </w:r>
          </w:p>
        </w:tc>
        <w:tc>
          <w:tcPr>
            <w:tcW w:type="dxa" w:w="2160"/>
          </w:tcPr>
          <w:p>
            <w:r>
              <w:rPr>
                <w:rFonts w:ascii="Calibri" w:hAnsi="Calibri"/>
                <w:sz w:val="22"/>
              </w:rPr>
              <w:t>July 20, 2026</w:t>
            </w:r>
          </w:p>
        </w:tc>
      </w:tr>
      <w:tr>
        <w:tc>
          <w:tcPr>
            <w:tcW w:type="dxa" w:w="2160"/>
          </w:tcPr>
          <w:p>
            <w:r>
              <w:rPr>
                <w:rFonts w:ascii="Calibri" w:hAnsi="Calibri"/>
                <w:b/>
                <w:sz w:val="22"/>
              </w:rPr>
              <w:t>Sector</w:t>
            </w:r>
          </w:p>
        </w:tc>
        <w:tc>
          <w:tcPr>
            <w:tcW w:type="dxa" w:w="2160"/>
          </w:tcPr>
          <w:p>
            <w:r>
              <w:rPr>
                <w:rFonts w:ascii="Calibri" w:hAnsi="Calibri"/>
                <w:sz w:val="22"/>
              </w:rPr>
              <w:t>Financials — Consumer Finance / Credit Cards</w:t>
            </w:r>
          </w:p>
        </w:tc>
        <w:tc>
          <w:tcPr>
            <w:tcW w:type="dxa" w:w="2160"/>
          </w:tcPr>
          <w:p>
            <w:r>
              <w:rPr>
                <w:rFonts w:ascii="Calibri" w:hAnsi="Calibri"/>
                <w:b/>
                <w:sz w:val="22"/>
              </w:rPr>
              <w:t>Last Earnings</w:t>
            </w:r>
          </w:p>
        </w:tc>
        <w:tc>
          <w:tcPr>
            <w:tcW w:type="dxa" w:w="2160"/>
          </w:tcPr>
          <w:p>
            <w:r>
              <w:rPr>
                <w:rFonts w:ascii="Calibri" w:hAnsi="Calibri"/>
                <w:sz w:val="22"/>
              </w:rPr>
              <w:t>April 21,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is modestly constructive — consensus has been revised down since Q1 but the bar is now achievable, and real-time credit data (April/May charge-offs and delinquencies) is tracking better than feared, making a credit-driven beat the most likely path to a positive stock reaction.</w:t>
      </w:r>
    </w:p>
    <w:p>
      <w:r>
        <w:rPr>
          <w:rFonts w:ascii="Calibri" w:hAnsi="Calibri"/>
          <w:color w:val="525866"/>
          <w:sz w:val="22"/>
        </w:rPr>
        <w:t xml:space="preserve">Heading into Q2 2026, the bar for Capital One is manageable: consensus operating EPS of ~$4.81 is down roughly 10% from the $5.47 print in Q2 2025 and has drifted lower since Q1 earnings, reflecting elevated marketing spend, Brex integration costs, and Discover amortization — all of which are well-telegraphed. </w:t>
      </w:r>
      <w:r>
        <w:rPr>
          <w:rFonts w:ascii="Calibri" w:hAnsi="Calibri"/>
          <w:b/>
          <w:color w:val="525866"/>
          <w:sz w:val="22"/>
        </w:rPr>
        <w:t>The most important swing factor is the domestic card charge-off rate</w:t>
      </w:r>
      <w:r>
        <w:rPr>
          <w:rFonts w:ascii="Calibri" w:hAnsi="Calibri"/>
          <w:color w:val="525866"/>
          <w:sz w:val="22"/>
        </w:rPr>
        <w:t xml:space="preserve">, where consensus sits at ~4.90% — the monthly 8-K data shows April at 4.94% and May at 4.82%, implying June would need to be roughly in line for the quarter to land near consensus; any improvement in June would be a positive surprise. Management's tone on the Q1 call was notably more constructive on consumer health, explicitly stating they are "leaning into growing the business," and peers (JPM, BAC, Citi) have all reported Q2 credit metrics that were in-line to better than expected, providing a favorable read-through. The stock has recovered ~2% since Q1 earnings but remains ~13% below its 6-month high, trading at ~9.3x NTM P/E — a discount that leaves room for multiple re-rating if credit stabilizes. The key wildcard is the </w:t>
      </w:r>
      <w:r>
        <w:rPr>
          <w:rFonts w:ascii="Calibri" w:hAnsi="Calibri"/>
          <w:b/>
          <w:color w:val="525866"/>
          <w:sz w:val="22"/>
        </w:rPr>
        <w:t>Brex purchase accounting disclosure</w:t>
      </w:r>
      <w:r>
        <w:rPr>
          <w:rFonts w:ascii="Calibri" w:hAnsi="Calibri"/>
          <w:color w:val="525866"/>
          <w:sz w:val="22"/>
        </w:rPr>
        <w:t>: management flagged on the Q1 call that full purchase accounting marks would be detailed at Q2 earnings, and any unexpected charges or dilution could overshadow an otherwise solid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manageable bar on credit — monthly data suggests the domestic card charge-off rate could come in at or slightly below the ~4.90% estimate. NIM and revenue are the secondary swing factors, with consensus expecting modest sequential improvement.</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(Q1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Diluted EPS — Operating ($)</w:t>
            </w:r>
          </w:p>
        </w:tc>
        <w:tc>
          <w:tcPr>
            <w:tcW w:type="dxa" w:w="1234"/>
          </w:tcPr>
          <w:p>
            <w:r>
              <w:rPr>
                <w:rFonts w:ascii="Calibri" w:hAnsi="Calibri"/>
                <w:sz w:val="22"/>
              </w:rPr>
              <w:t>$4.42</w:t>
            </w:r>
          </w:p>
        </w:tc>
        <w:tc>
          <w:tcPr>
            <w:tcW w:type="dxa" w:w="1234"/>
          </w:tcPr>
          <w:p>
            <w:r>
              <w:rPr>
                <w:rFonts w:ascii="Calibri" w:hAnsi="Calibri"/>
                <w:sz w:val="22"/>
              </w:rPr>
              <w:t>$5.47</w:t>
            </w:r>
          </w:p>
        </w:tc>
        <w:tc>
          <w:tcPr>
            <w:tcW w:type="dxa" w:w="1234"/>
          </w:tcPr>
          <w:p>
            <w:r>
              <w:rPr>
                <w:rFonts w:ascii="Calibri" w:hAnsi="Calibri"/>
                <w:sz w:val="22"/>
              </w:rPr>
              <w:t>$4.81</w:t>
            </w:r>
          </w:p>
        </w:tc>
        <w:tc>
          <w:tcPr>
            <w:tcW w:type="dxa" w:w="1234"/>
          </w:tcPr>
          <w:p>
            <w:r>
              <w:rPr>
                <w:rFonts w:ascii="Calibri" w:hAnsi="Calibri"/>
                <w:b/>
                <w:color w:val="E5484D"/>
                <w:sz w:val="22"/>
              </w:rPr>
              <w:t>-12.1% YoY</w:t>
            </w:r>
          </w:p>
        </w:tc>
        <w:tc>
          <w:tcPr>
            <w:tcW w:type="dxa" w:w="1234"/>
          </w:tcPr>
          <w:p>
            <w:r>
              <w:rPr>
                <w:rFonts w:ascii="Calibri" w:hAnsi="Calibri"/>
                <w:sz w:val="22"/>
              </w:rPr>
              <w:t>No specific guidance; earnings power consistent with deal model</w:t>
            </w:r>
          </w:p>
        </w:tc>
        <w:tc>
          <w:tcPr>
            <w:tcW w:type="dxa" w:w="1234"/>
          </w:tcPr>
          <w:p>
            <w:r>
              <w:rPr>
                <w:rFonts w:ascii="Calibri" w:hAnsi="Calibri"/>
                <w:sz w:val="22"/>
              </w:rPr>
              <w:t>N/A (no numeric guide)</w:t>
            </w:r>
          </w:p>
        </w:tc>
      </w:tr>
      <w:tr>
        <w:tc>
          <w:tcPr>
            <w:tcW w:type="dxa" w:w="1234"/>
          </w:tcPr>
          <w:p>
            <w:r>
              <w:rPr>
                <w:rFonts w:ascii="Calibri" w:hAnsi="Calibri"/>
                <w:sz w:val="22"/>
              </w:rPr>
              <w:t>Total Net Revenue ($B)</w:t>
            </w:r>
          </w:p>
        </w:tc>
        <w:tc>
          <w:tcPr>
            <w:tcW w:type="dxa" w:w="1234"/>
          </w:tcPr>
          <w:p>
            <w:r>
              <w:rPr>
                <w:rFonts w:ascii="Calibri" w:hAnsi="Calibri"/>
                <w:sz w:val="22"/>
              </w:rPr>
              <w:t>$15.23B</w:t>
            </w:r>
          </w:p>
        </w:tc>
        <w:tc>
          <w:tcPr>
            <w:tcW w:type="dxa" w:w="1234"/>
          </w:tcPr>
          <w:p>
            <w:r>
              <w:rPr>
                <w:rFonts w:ascii="Calibri" w:hAnsi="Calibri"/>
                <w:sz w:val="22"/>
              </w:rPr>
              <w:t>$12.49B</w:t>
            </w:r>
          </w:p>
        </w:tc>
        <w:tc>
          <w:tcPr>
            <w:tcW w:type="dxa" w:w="1234"/>
          </w:tcPr>
          <w:p>
            <w:r>
              <w:rPr>
                <w:rFonts w:ascii="Calibri" w:hAnsi="Calibri"/>
                <w:sz w:val="22"/>
              </w:rPr>
              <w:t>$15.80B</w:t>
            </w:r>
          </w:p>
        </w:tc>
        <w:tc>
          <w:tcPr>
            <w:tcW w:type="dxa" w:w="1234"/>
          </w:tcPr>
          <w:p>
            <w:r>
              <w:rPr>
                <w:rFonts w:ascii="Calibri" w:hAnsi="Calibri"/>
                <w:b/>
                <w:color w:val="30A46C"/>
                <w:sz w:val="22"/>
              </w:rPr>
              <w:t>+26.5% YoY</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Net Interest Margin (%)</w:t>
            </w:r>
          </w:p>
        </w:tc>
        <w:tc>
          <w:tcPr>
            <w:tcW w:type="dxa" w:w="1234"/>
          </w:tcPr>
          <w:p>
            <w:r>
              <w:rPr>
                <w:rFonts w:ascii="Calibri" w:hAnsi="Calibri"/>
                <w:sz w:val="22"/>
              </w:rPr>
              <w:t>7.87%</w:t>
            </w:r>
          </w:p>
        </w:tc>
        <w:tc>
          <w:tcPr>
            <w:tcW w:type="dxa" w:w="1234"/>
          </w:tcPr>
          <w:p>
            <w:r>
              <w:rPr>
                <w:rFonts w:ascii="Calibri" w:hAnsi="Calibri"/>
                <w:sz w:val="22"/>
              </w:rPr>
              <w:t>7.62%</w:t>
            </w:r>
          </w:p>
        </w:tc>
        <w:tc>
          <w:tcPr>
            <w:tcW w:type="dxa" w:w="1234"/>
          </w:tcPr>
          <w:p>
            <w:r>
              <w:rPr>
                <w:rFonts w:ascii="Calibri" w:hAnsi="Calibri"/>
                <w:sz w:val="22"/>
              </w:rPr>
              <w:t>8.02%</w:t>
            </w:r>
          </w:p>
        </w:tc>
        <w:tc>
          <w:tcPr>
            <w:tcW w:type="dxa" w:w="1234"/>
          </w:tcPr>
          <w:p>
            <w:r>
              <w:rPr>
                <w:rFonts w:ascii="Calibri" w:hAnsi="Calibri"/>
                <w:b/>
                <w:color w:val="30A46C"/>
                <w:sz w:val="22"/>
              </w:rPr>
              <w:t>+40 bps YoY</w:t>
            </w:r>
          </w:p>
        </w:tc>
        <w:tc>
          <w:tcPr>
            <w:tcW w:type="dxa" w:w="1234"/>
          </w:tcPr>
          <w:p>
            <w:r>
              <w:rPr>
                <w:rFonts w:ascii="Calibri" w:hAnsi="Calibri"/>
                <w:sz w:val="22"/>
              </w:rPr>
              <w:t>Structural NIM level to persist; +9 bps from extra day in Q2</w:t>
            </w:r>
          </w:p>
        </w:tc>
        <w:tc>
          <w:tcPr>
            <w:tcW w:type="dxa" w:w="1234"/>
          </w:tcPr>
          <w:p>
            <w:r>
              <w:rPr>
                <w:rFonts w:ascii="Calibri" w:hAnsi="Calibri"/>
                <w:sz w:val="22"/>
              </w:rPr>
              <w:t>In line with guidance</w:t>
            </w:r>
          </w:p>
        </w:tc>
      </w:tr>
      <w:tr>
        <w:tc>
          <w:tcPr>
            <w:tcW w:type="dxa" w:w="1234"/>
          </w:tcPr>
          <w:p>
            <w:r>
              <w:rPr>
                <w:rFonts w:ascii="Calibri" w:hAnsi="Calibri"/>
                <w:sz w:val="22"/>
              </w:rPr>
              <w:t>Domestic Card Net Charge-Off Rate (%)</w:t>
            </w:r>
          </w:p>
        </w:tc>
        <w:tc>
          <w:tcPr>
            <w:tcW w:type="dxa" w:w="1234"/>
          </w:tcPr>
          <w:p>
            <w:r>
              <w:rPr>
                <w:rFonts w:ascii="Calibri" w:hAnsi="Calibri"/>
                <w:sz w:val="22"/>
              </w:rPr>
              <w:t>5.10%</w:t>
            </w:r>
          </w:p>
        </w:tc>
        <w:tc>
          <w:tcPr>
            <w:tcW w:type="dxa" w:w="1234"/>
          </w:tcPr>
          <w:p>
            <w:r>
              <w:rPr>
                <w:rFonts w:ascii="Calibri" w:hAnsi="Calibri"/>
                <w:sz w:val="22"/>
              </w:rPr>
              <w:t>5.25%</w:t>
            </w:r>
          </w:p>
        </w:tc>
        <w:tc>
          <w:tcPr>
            <w:tcW w:type="dxa" w:w="1234"/>
          </w:tcPr>
          <w:p>
            <w:r>
              <w:rPr>
                <w:rFonts w:ascii="Calibri" w:hAnsi="Calibri"/>
                <w:sz w:val="22"/>
              </w:rPr>
              <w:t>4.90%</w:t>
            </w:r>
          </w:p>
        </w:tc>
        <w:tc>
          <w:tcPr>
            <w:tcW w:type="dxa" w:w="1234"/>
          </w:tcPr>
          <w:p>
            <w:r>
              <w:rPr>
                <w:rFonts w:ascii="Calibri" w:hAnsi="Calibri"/>
                <w:b/>
                <w:color w:val="30A46C"/>
                <w:sz w:val="22"/>
              </w:rPr>
              <w:t>-35 bps YoY</w:t>
            </w:r>
          </w:p>
        </w:tc>
        <w:tc>
          <w:tcPr>
            <w:tcW w:type="dxa" w:w="1234"/>
          </w:tcPr>
          <w:p>
            <w:r>
              <w:rPr>
                <w:rFonts w:ascii="Calibri" w:hAnsi="Calibri"/>
                <w:sz w:val="22"/>
              </w:rPr>
              <w:t>Credit metrics settling; normal seasonality expected</w:t>
            </w:r>
          </w:p>
        </w:tc>
        <w:tc>
          <w:tcPr>
            <w:tcW w:type="dxa" w:w="1234"/>
          </w:tcPr>
          <w:p>
            <w:r>
              <w:rPr>
                <w:rFonts w:ascii="Calibri" w:hAnsi="Calibri"/>
                <w:sz w:val="22"/>
              </w:rPr>
              <w:t>Monthly data (Apr 4.94%, May 4.82%) tracking near/below consensus</w:t>
            </w:r>
          </w:p>
        </w:tc>
      </w:tr>
      <w:tr>
        <w:tc>
          <w:tcPr>
            <w:tcW w:type="dxa" w:w="1234"/>
          </w:tcPr>
          <w:p>
            <w:r>
              <w:rPr>
                <w:rFonts w:ascii="Calibri" w:hAnsi="Calibri"/>
                <w:sz w:val="22"/>
              </w:rPr>
              <w:t>Domestic Card 30+ Day Delinquency Rate (%)</w:t>
            </w:r>
          </w:p>
        </w:tc>
        <w:tc>
          <w:tcPr>
            <w:tcW w:type="dxa" w:w="1234"/>
          </w:tcPr>
          <w:p>
            <w:r>
              <w:rPr>
                <w:rFonts w:ascii="Calibri" w:hAnsi="Calibri"/>
                <w:sz w:val="22"/>
              </w:rPr>
              <w:t>3.70%</w:t>
            </w:r>
          </w:p>
        </w:tc>
        <w:tc>
          <w:tcPr>
            <w:tcW w:type="dxa" w:w="1234"/>
          </w:tcPr>
          <w:p>
            <w:r>
              <w:rPr>
                <w:rFonts w:ascii="Calibri" w:hAnsi="Calibri"/>
                <w:sz w:val="22"/>
              </w:rPr>
              <w:t>3.60%</w:t>
            </w:r>
          </w:p>
        </w:tc>
        <w:tc>
          <w:tcPr>
            <w:tcW w:type="dxa" w:w="1234"/>
          </w:tcPr>
          <w:p>
            <w:r>
              <w:rPr>
                <w:rFonts w:ascii="Calibri" w:hAnsi="Calibri"/>
                <w:sz w:val="22"/>
              </w:rPr>
              <w:t>3.53%</w:t>
            </w:r>
          </w:p>
        </w:tc>
        <w:tc>
          <w:tcPr>
            <w:tcW w:type="dxa" w:w="1234"/>
          </w:tcPr>
          <w:p>
            <w:r>
              <w:rPr>
                <w:rFonts w:ascii="Calibri" w:hAnsi="Calibri"/>
                <w:b/>
                <w:color w:val="30A46C"/>
                <w:sz w:val="22"/>
              </w:rPr>
              <w:t>-7 bps YoY</w:t>
            </w:r>
          </w:p>
        </w:tc>
        <w:tc>
          <w:tcPr>
            <w:tcW w:type="dxa" w:w="1234"/>
          </w:tcPr>
          <w:p>
            <w:r>
              <w:rPr>
                <w:rFonts w:ascii="Calibri" w:hAnsi="Calibri"/>
                <w:sz w:val="22"/>
              </w:rPr>
              <w:t>Delinquencies performing better than seasonality through April</w:t>
            </w:r>
          </w:p>
        </w:tc>
        <w:tc>
          <w:tcPr>
            <w:tcW w:type="dxa" w:w="1234"/>
          </w:tcPr>
          <w:p>
            <w:r>
              <w:rPr>
                <w:rFonts w:ascii="Calibri" w:hAnsi="Calibri"/>
                <w:sz w:val="22"/>
              </w:rPr>
              <w:t>Monthly data (Apr 3.44%, May 3.33%) tracking below consensus — positive</w:t>
            </w:r>
          </w:p>
        </w:tc>
      </w:tr>
      <w:tr>
        <w:tc>
          <w:tcPr>
            <w:tcW w:type="dxa" w:w="1234"/>
          </w:tcPr>
          <w:p>
            <w:r>
              <w:rPr>
                <w:rFonts w:ascii="Calibri" w:hAnsi="Calibri"/>
                <w:sz w:val="22"/>
              </w:rPr>
              <w:t>Marketing Expense ($B)</w:t>
            </w:r>
          </w:p>
        </w:tc>
        <w:tc>
          <w:tcPr>
            <w:tcW w:type="dxa" w:w="1234"/>
          </w:tcPr>
          <w:p>
            <w:r>
              <w:rPr>
                <w:rFonts w:ascii="Calibri" w:hAnsi="Calibri"/>
                <w:sz w:val="22"/>
              </w:rPr>
              <w:t>$1.50B</w:t>
            </w:r>
          </w:p>
        </w:tc>
        <w:tc>
          <w:tcPr>
            <w:tcW w:type="dxa" w:w="1234"/>
          </w:tcPr>
          <w:p>
            <w:r>
              <w:rPr>
                <w:rFonts w:ascii="Calibri" w:hAnsi="Calibri"/>
                <w:sz w:val="22"/>
              </w:rPr>
              <w:t>$1.35B</w:t>
            </w:r>
          </w:p>
        </w:tc>
        <w:tc>
          <w:tcPr>
            <w:tcW w:type="dxa" w:w="1234"/>
          </w:tcPr>
          <w:p>
            <w:r>
              <w:rPr>
                <w:rFonts w:ascii="Calibri" w:hAnsi="Calibri"/>
                <w:sz w:val="22"/>
              </w:rPr>
              <w:t>$1.70B</w:t>
            </w:r>
          </w:p>
        </w:tc>
        <w:tc>
          <w:tcPr>
            <w:tcW w:type="dxa" w:w="1234"/>
          </w:tcPr>
          <w:p>
            <w:r>
              <w:rPr>
                <w:rFonts w:ascii="Calibri" w:hAnsi="Calibri"/>
                <w:b/>
                <w:color w:val="E5484D"/>
                <w:sz w:val="22"/>
              </w:rPr>
              <w:t>+26% YoY</w:t>
            </w:r>
          </w:p>
        </w:tc>
        <w:tc>
          <w:tcPr>
            <w:tcW w:type="dxa" w:w="1234"/>
          </w:tcPr>
          <w:p>
            <w:r>
              <w:rPr>
                <w:rFonts w:ascii="Calibri" w:hAnsi="Calibri"/>
                <w:sz w:val="22"/>
              </w:rPr>
              <w:t>Heavier in Q2+ vs. Q1; planned investments shifted out of Q1</w:t>
            </w:r>
          </w:p>
        </w:tc>
        <w:tc>
          <w:tcPr>
            <w:tcW w:type="dxa" w:w="1234"/>
          </w:tcPr>
          <w:p>
            <w:r>
              <w:rPr>
                <w:rFonts w:ascii="Calibri" w:hAnsi="Calibri"/>
                <w:sz w:val="22"/>
              </w:rPr>
              <w:t>Consensus above Q1 actual; in line with guidance</w:t>
            </w:r>
          </w:p>
        </w:tc>
      </w:tr>
      <w:tr>
        <w:tc>
          <w:tcPr>
            <w:tcW w:type="dxa" w:w="1234"/>
          </w:tcPr>
          <w:p>
            <w:r>
              <w:rPr>
                <w:rFonts w:ascii="Calibri" w:hAnsi="Calibri"/>
                <w:sz w:val="22"/>
              </w:rPr>
              <w:t>Adjusted Efficiency Ratio (%)</w:t>
            </w:r>
          </w:p>
        </w:tc>
        <w:tc>
          <w:tcPr>
            <w:tcW w:type="dxa" w:w="1234"/>
          </w:tcPr>
          <w:p>
            <w:r>
              <w:rPr>
                <w:rFonts w:ascii="Calibri" w:hAnsi="Calibri"/>
                <w:sz w:val="22"/>
              </w:rPr>
              <w:t>49.71%</w:t>
            </w:r>
          </w:p>
        </w:tc>
        <w:tc>
          <w:tcPr>
            <w:tcW w:type="dxa" w:w="1234"/>
          </w:tcPr>
          <w:p>
            <w:r>
              <w:rPr>
                <w:rFonts w:ascii="Calibri" w:hAnsi="Calibri"/>
                <w:sz w:val="22"/>
              </w:rPr>
              <w:t>50.85%</w:t>
            </w:r>
          </w:p>
        </w:tc>
        <w:tc>
          <w:tcPr>
            <w:tcW w:type="dxa" w:w="1234"/>
          </w:tcPr>
          <w:p>
            <w:r>
              <w:rPr>
                <w:rFonts w:ascii="Calibri" w:hAnsi="Calibri"/>
                <w:sz w:val="22"/>
              </w:rPr>
              <w:t>50.89%</w:t>
            </w:r>
          </w:p>
        </w:tc>
        <w:tc>
          <w:tcPr>
            <w:tcW w:type="dxa" w:w="1234"/>
          </w:tcPr>
          <w:p>
            <w:r>
              <w:rPr>
                <w:rFonts w:ascii="Calibri" w:hAnsi="Calibri"/>
                <w:sz w:val="22"/>
              </w:rPr>
              <w:t>+4 bps YoY</w:t>
            </w:r>
          </w:p>
        </w:tc>
        <w:tc>
          <w:tcPr>
            <w:tcW w:type="dxa" w:w="1234"/>
          </w:tcPr>
          <w:p>
            <w:r>
              <w:rPr>
                <w:rFonts w:ascii="Calibri" w:hAnsi="Calibri"/>
                <w:sz w:val="22"/>
              </w:rPr>
              <w:t>Near-term upward pressure from investments; no specific guide</w:t>
            </w:r>
          </w:p>
        </w:tc>
        <w:tc>
          <w:tcPr>
            <w:tcW w:type="dxa" w:w="1234"/>
          </w:tcPr>
          <w:p>
            <w:r>
              <w:rPr>
                <w:rFonts w:ascii="Calibri" w:hAnsi="Calibri"/>
                <w:sz w:val="22"/>
              </w:rPr>
              <w:t>Consensus implies modest deterioration vs. Q1</w:t>
            </w:r>
          </w:p>
        </w:tc>
      </w:tr>
      <w:tr>
        <w:tc>
          <w:tcPr>
            <w:tcW w:type="dxa" w:w="1234"/>
          </w:tcPr>
          <w:p>
            <w:r>
              <w:rPr>
                <w:rFonts w:ascii="Calibri" w:hAnsi="Calibri"/>
                <w:sz w:val="22"/>
              </w:rPr>
              <w:t>CET1 Capital Ratio (%)</w:t>
            </w:r>
          </w:p>
        </w:tc>
        <w:tc>
          <w:tcPr>
            <w:tcW w:type="dxa" w:w="1234"/>
          </w:tcPr>
          <w:p>
            <w:r>
              <w:rPr>
                <w:rFonts w:ascii="Calibri" w:hAnsi="Calibri"/>
                <w:sz w:val="22"/>
              </w:rPr>
              <w:t>14.36%</w:t>
            </w:r>
          </w:p>
        </w:tc>
        <w:tc>
          <w:tcPr>
            <w:tcW w:type="dxa" w:w="1234"/>
          </w:tcPr>
          <w:p>
            <w:r>
              <w:rPr>
                <w:rFonts w:ascii="Calibri" w:hAnsi="Calibri"/>
                <w:sz w:val="22"/>
              </w:rPr>
              <w:t>14.05%</w:t>
            </w:r>
          </w:p>
        </w:tc>
        <w:tc>
          <w:tcPr>
            <w:tcW w:type="dxa" w:w="1234"/>
          </w:tcPr>
          <w:p>
            <w:r>
              <w:rPr>
                <w:rFonts w:ascii="Calibri" w:hAnsi="Calibri"/>
                <w:sz w:val="22"/>
              </w:rPr>
              <w:t>13.75%</w:t>
            </w:r>
          </w:p>
        </w:tc>
        <w:tc>
          <w:tcPr>
            <w:tcW w:type="dxa" w:w="1234"/>
          </w:tcPr>
          <w:p>
            <w:r>
              <w:rPr>
                <w:rFonts w:ascii="Calibri" w:hAnsi="Calibri"/>
                <w:sz w:val="22"/>
              </w:rPr>
              <w:t>-30 bps YoY</w:t>
            </w:r>
          </w:p>
        </w:tc>
        <w:tc>
          <w:tcPr>
            <w:tcW w:type="dxa" w:w="1234"/>
          </w:tcPr>
          <w:p>
            <w:r>
              <w:rPr>
                <w:rFonts w:ascii="Calibri" w:hAnsi="Calibri"/>
                <w:sz w:val="22"/>
              </w:rPr>
              <w:t>Brex to reduce CET1 by ~40 bps in Q2; long-term target ~11%</w:t>
            </w:r>
          </w:p>
        </w:tc>
        <w:tc>
          <w:tcPr>
            <w:tcW w:type="dxa" w:w="1234"/>
          </w:tcPr>
          <w:p>
            <w:r>
              <w:rPr>
                <w:rFonts w:ascii="Calibri" w:hAnsi="Calibri"/>
                <w:sz w:val="22"/>
              </w:rPr>
              <w:t>Consensus reflects Brex impact; still well above target</w:t>
            </w:r>
          </w:p>
        </w:tc>
      </w:tr>
    </w:tbl>
    <w:p>
      <w:r>
        <w:rPr>
          <w:rFonts w:ascii="Calibri" w:hAnsi="Calibri"/>
          <w:i/>
          <w:color w:val="525866"/>
          <w:sz w:val="22"/>
        </w:rPr>
        <w:t>Source: Visible Alpha Consensus and Actuals Data; Capital One 8-K monthly credit supplements (April and May 2026); Capital One Q1 2026 Earnings Call (April 21, 2026).</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$4.42</w:t>
            </w:r>
          </w:p>
        </w:tc>
        <w:tc>
          <w:tcPr>
            <w:tcW w:type="dxa" w:w="1440"/>
          </w:tcPr>
          <w:p>
            <w:r>
              <w:rPr>
                <w:rFonts w:ascii="Calibri" w:hAnsi="Calibri"/>
                <w:sz w:val="22"/>
              </w:rPr>
              <w:t>$4.57</w:t>
            </w:r>
          </w:p>
        </w:tc>
        <w:tc>
          <w:tcPr>
            <w:tcW w:type="dxa" w:w="1440"/>
          </w:tcPr>
          <w:p>
            <w:r>
              <w:rPr>
                <w:rFonts w:ascii="Calibri" w:hAnsi="Calibri"/>
                <w:b/>
                <w:color w:val="E5484D"/>
                <w:sz w:val="22"/>
              </w:rPr>
              <w:t>-3.3%</w:t>
            </w:r>
          </w:p>
        </w:tc>
        <w:tc>
          <w:tcPr>
            <w:tcW w:type="dxa" w:w="1440"/>
          </w:tcPr>
          <w:p>
            <w:r>
              <w:rPr>
                <w:rFonts w:ascii="Calibri" w:hAnsi="Calibri"/>
                <w:sz w:val="22"/>
              </w:rPr>
              <w:t>Miss</w:t>
            </w:r>
          </w:p>
        </w:tc>
      </w:tr>
      <w:tr>
        <w:tc>
          <w:tcPr>
            <w:tcW w:type="dxa" w:w="1440"/>
          </w:tcPr>
          <w:p>
            <w:r>
              <w:rPr>
                <w:rFonts w:ascii="Calibri" w:hAnsi="Calibri"/>
                <w:sz w:val="22"/>
              </w:rPr>
              <w:t>Q1 2026</w:t>
            </w:r>
          </w:p>
        </w:tc>
        <w:tc>
          <w:tcPr>
            <w:tcW w:type="dxa" w:w="1440"/>
          </w:tcPr>
          <w:p>
            <w:r>
              <w:rPr>
                <w:rFonts w:ascii="Calibri" w:hAnsi="Calibri"/>
                <w:sz w:val="22"/>
              </w:rPr>
              <w:t>Dom. Card NCO Rate</w:t>
            </w:r>
          </w:p>
        </w:tc>
        <w:tc>
          <w:tcPr>
            <w:tcW w:type="dxa" w:w="1440"/>
          </w:tcPr>
          <w:p>
            <w:r>
              <w:rPr>
                <w:rFonts w:ascii="Calibri" w:hAnsi="Calibri"/>
                <w:sz w:val="22"/>
              </w:rPr>
              <w:t>5.10%</w:t>
            </w:r>
          </w:p>
        </w:tc>
        <w:tc>
          <w:tcPr>
            <w:tcW w:type="dxa" w:w="1440"/>
          </w:tcPr>
          <w:p>
            <w:r>
              <w:rPr>
                <w:rFonts w:ascii="Calibri" w:hAnsi="Calibri"/>
                <w:sz w:val="22"/>
              </w:rPr>
              <w:t>5.13%</w:t>
            </w:r>
          </w:p>
        </w:tc>
        <w:tc>
          <w:tcPr>
            <w:tcW w:type="dxa" w:w="1440"/>
          </w:tcPr>
          <w:p>
            <w:r>
              <w:rPr>
                <w:rFonts w:ascii="Calibri" w:hAnsi="Calibri"/>
                <w:b/>
                <w:color w:val="30A46C"/>
                <w:sz w:val="22"/>
              </w:rPr>
              <w:t>+3 bps better</w:t>
            </w:r>
          </w:p>
        </w:tc>
        <w:tc>
          <w:tcPr>
            <w:tcW w:type="dxa" w:w="1440"/>
          </w:tcPr>
          <w:p>
            <w:r>
              <w:rPr>
                <w:rFonts w:ascii="Calibri" w:hAnsi="Calibri"/>
                <w:sz w:val="22"/>
              </w:rPr>
              <w:t>Beat (lower = better)</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$3.86</w:t>
            </w:r>
          </w:p>
        </w:tc>
        <w:tc>
          <w:tcPr>
            <w:tcW w:type="dxa" w:w="1440"/>
          </w:tcPr>
          <w:p>
            <w:r>
              <w:rPr>
                <w:rFonts w:ascii="Calibri" w:hAnsi="Calibri"/>
                <w:sz w:val="22"/>
              </w:rPr>
              <w:t>$4.16</w:t>
            </w:r>
          </w:p>
        </w:tc>
        <w:tc>
          <w:tcPr>
            <w:tcW w:type="dxa" w:w="1440"/>
          </w:tcPr>
          <w:p>
            <w:r>
              <w:rPr>
                <w:rFonts w:ascii="Calibri" w:hAnsi="Calibri"/>
                <w:b/>
                <w:color w:val="E5484D"/>
                <w:sz w:val="22"/>
              </w:rPr>
              <w:t>-7.2%</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Dom. Card NCO Rate</w:t>
            </w:r>
          </w:p>
        </w:tc>
        <w:tc>
          <w:tcPr>
            <w:tcW w:type="dxa" w:w="1440"/>
          </w:tcPr>
          <w:p>
            <w:r>
              <w:rPr>
                <w:rFonts w:ascii="Calibri" w:hAnsi="Calibri"/>
                <w:sz w:val="22"/>
              </w:rPr>
              <w:t>4.93%</w:t>
            </w:r>
          </w:p>
        </w:tc>
        <w:tc>
          <w:tcPr>
            <w:tcW w:type="dxa" w:w="1440"/>
          </w:tcPr>
          <w:p>
            <w:r>
              <w:rPr>
                <w:rFonts w:ascii="Calibri" w:hAnsi="Calibri"/>
                <w:sz w:val="22"/>
              </w:rPr>
              <w:t>5.04%</w:t>
            </w:r>
          </w:p>
        </w:tc>
        <w:tc>
          <w:tcPr>
            <w:tcW w:type="dxa" w:w="1440"/>
          </w:tcPr>
          <w:p>
            <w:r>
              <w:rPr>
                <w:rFonts w:ascii="Calibri" w:hAnsi="Calibri"/>
                <w:b/>
                <w:color w:val="30A46C"/>
                <w:sz w:val="22"/>
              </w:rPr>
              <w:t>+11 bps better</w:t>
            </w:r>
          </w:p>
        </w:tc>
        <w:tc>
          <w:tcPr>
            <w:tcW w:type="dxa" w:w="1440"/>
          </w:tcPr>
          <w:p>
            <w:r>
              <w:rPr>
                <w:rFonts w:ascii="Calibri" w:hAnsi="Calibri"/>
                <w:sz w:val="22"/>
              </w:rPr>
              <w:t>Beat (lower = better)</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$5.95</w:t>
            </w:r>
          </w:p>
        </w:tc>
        <w:tc>
          <w:tcPr>
            <w:tcW w:type="dxa" w:w="1440"/>
          </w:tcPr>
          <w:p>
            <w:r>
              <w:rPr>
                <w:rFonts w:ascii="Calibri" w:hAnsi="Calibri"/>
                <w:sz w:val="22"/>
              </w:rPr>
              <w:t>$4.39</w:t>
            </w:r>
          </w:p>
        </w:tc>
        <w:tc>
          <w:tcPr>
            <w:tcW w:type="dxa" w:w="1440"/>
          </w:tcPr>
          <w:p>
            <w:r>
              <w:rPr>
                <w:rFonts w:ascii="Calibri" w:hAnsi="Calibri"/>
                <w:b/>
                <w:color w:val="30A46C"/>
                <w:sz w:val="22"/>
              </w:rPr>
              <w:t>+35.5%</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Dom. Card NCO Rate</w:t>
            </w:r>
          </w:p>
        </w:tc>
        <w:tc>
          <w:tcPr>
            <w:tcW w:type="dxa" w:w="1440"/>
          </w:tcPr>
          <w:p>
            <w:r>
              <w:rPr>
                <w:rFonts w:ascii="Calibri" w:hAnsi="Calibri"/>
                <w:sz w:val="22"/>
              </w:rPr>
              <w:t>4.63%</w:t>
            </w:r>
          </w:p>
        </w:tc>
        <w:tc>
          <w:tcPr>
            <w:tcW w:type="dxa" w:w="1440"/>
          </w:tcPr>
          <w:p>
            <w:r>
              <w:rPr>
                <w:rFonts w:ascii="Calibri" w:hAnsi="Calibri"/>
                <w:sz w:val="22"/>
              </w:rPr>
              <w:t>4.92%</w:t>
            </w:r>
          </w:p>
        </w:tc>
        <w:tc>
          <w:tcPr>
            <w:tcW w:type="dxa" w:w="1440"/>
          </w:tcPr>
          <w:p>
            <w:r>
              <w:rPr>
                <w:rFonts w:ascii="Calibri" w:hAnsi="Calibri"/>
                <w:b/>
                <w:color w:val="30A46C"/>
                <w:sz w:val="22"/>
              </w:rPr>
              <w:t>+29 bps better</w:t>
            </w:r>
          </w:p>
        </w:tc>
        <w:tc>
          <w:tcPr>
            <w:tcW w:type="dxa" w:w="1440"/>
          </w:tcPr>
          <w:p>
            <w:r>
              <w:rPr>
                <w:rFonts w:ascii="Calibri" w:hAnsi="Calibri"/>
                <w:sz w:val="22"/>
              </w:rPr>
              <w:t>Beat (lower = better)</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$5.47</w:t>
            </w:r>
          </w:p>
        </w:tc>
        <w:tc>
          <w:tcPr>
            <w:tcW w:type="dxa" w:w="1440"/>
          </w:tcPr>
          <w:p>
            <w:r>
              <w:rPr>
                <w:rFonts w:ascii="Calibri" w:hAnsi="Calibri"/>
                <w:sz w:val="22"/>
              </w:rPr>
              <w:t>$3.02</w:t>
            </w:r>
          </w:p>
        </w:tc>
        <w:tc>
          <w:tcPr>
            <w:tcW w:type="dxa" w:w="1440"/>
          </w:tcPr>
          <w:p>
            <w:r>
              <w:rPr>
                <w:rFonts w:ascii="Calibri" w:hAnsi="Calibri"/>
                <w:b/>
                <w:color w:val="30A46C"/>
                <w:sz w:val="22"/>
              </w:rPr>
              <w:t>+81.1%</w:t>
            </w:r>
          </w:p>
        </w:tc>
        <w:tc>
          <w:tcPr>
            <w:tcW w:type="dxa" w:w="1440"/>
          </w:tcPr>
          <w:p>
            <w:r>
              <w:rPr>
                <w:rFonts w:ascii="Calibri" w:hAnsi="Calibri"/>
                <w:sz w:val="22"/>
              </w:rPr>
              <w:t>Beat (Discover close distorted consensus)</w:t>
            </w:r>
          </w:p>
        </w:tc>
      </w:tr>
      <w:tr>
        <w:tc>
          <w:tcPr>
            <w:tcW w:type="dxa" w:w="1440"/>
          </w:tcPr>
          <w:p>
            <w:r>
              <w:rPr>
                <w:rFonts w:ascii="Calibri" w:hAnsi="Calibri"/>
                <w:sz w:val="22"/>
              </w:rPr>
              <w:t>Q2 2025</w:t>
            </w:r>
          </w:p>
        </w:tc>
        <w:tc>
          <w:tcPr>
            <w:tcW w:type="dxa" w:w="1440"/>
          </w:tcPr>
          <w:p>
            <w:r>
              <w:rPr>
                <w:rFonts w:ascii="Calibri" w:hAnsi="Calibri"/>
                <w:sz w:val="22"/>
              </w:rPr>
              <w:t>Dom. Card NCO Rate</w:t>
            </w:r>
          </w:p>
        </w:tc>
        <w:tc>
          <w:tcPr>
            <w:tcW w:type="dxa" w:w="1440"/>
          </w:tcPr>
          <w:p>
            <w:r>
              <w:rPr>
                <w:rFonts w:ascii="Calibri" w:hAnsi="Calibri"/>
                <w:sz w:val="22"/>
              </w:rPr>
              <w:t>5.25%</w:t>
            </w:r>
          </w:p>
        </w:tc>
        <w:tc>
          <w:tcPr>
            <w:tcW w:type="dxa" w:w="1440"/>
          </w:tcPr>
          <w:p>
            <w:r>
              <w:rPr>
                <w:rFonts w:ascii="Calibri" w:hAnsi="Calibri"/>
                <w:sz w:val="22"/>
              </w:rPr>
              <w:t>5.55%</w:t>
            </w:r>
          </w:p>
        </w:tc>
        <w:tc>
          <w:tcPr>
            <w:tcW w:type="dxa" w:w="1440"/>
          </w:tcPr>
          <w:p>
            <w:r>
              <w:rPr>
                <w:rFonts w:ascii="Calibri" w:hAnsi="Calibri"/>
                <w:b/>
                <w:color w:val="30A46C"/>
                <w:sz w:val="22"/>
              </w:rPr>
              <w:t>+30 bps better</w:t>
            </w:r>
          </w:p>
        </w:tc>
        <w:tc>
          <w:tcPr>
            <w:tcW w:type="dxa" w:w="1440"/>
          </w:tcPr>
          <w:p>
            <w:r>
              <w:rPr>
                <w:rFonts w:ascii="Calibri" w:hAnsi="Calibri"/>
                <w:sz w:val="22"/>
              </w:rPr>
              <w:t>Beat (lower = better)</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$4.05</w:t>
            </w:r>
          </w:p>
        </w:tc>
        <w:tc>
          <w:tcPr>
            <w:tcW w:type="dxa" w:w="1440"/>
          </w:tcPr>
          <w:p>
            <w:r>
              <w:rPr>
                <w:rFonts w:ascii="Calibri" w:hAnsi="Calibri"/>
                <w:sz w:val="22"/>
              </w:rPr>
              <w:t>$3.68</w:t>
            </w:r>
          </w:p>
        </w:tc>
        <w:tc>
          <w:tcPr>
            <w:tcW w:type="dxa" w:w="1440"/>
          </w:tcPr>
          <w:p>
            <w:r>
              <w:rPr>
                <w:rFonts w:ascii="Calibri" w:hAnsi="Calibri"/>
                <w:b/>
                <w:color w:val="30A46C"/>
                <w:sz w:val="22"/>
              </w:rPr>
              <w:t>+10.1%</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Dom. Card NCO Rate</w:t>
            </w:r>
          </w:p>
        </w:tc>
        <w:tc>
          <w:tcPr>
            <w:tcW w:type="dxa" w:w="1440"/>
          </w:tcPr>
          <w:p>
            <w:r>
              <w:rPr>
                <w:rFonts w:ascii="Calibri" w:hAnsi="Calibri"/>
                <w:sz w:val="22"/>
              </w:rPr>
              <w:t>6.19%</w:t>
            </w:r>
          </w:p>
        </w:tc>
        <w:tc>
          <w:tcPr>
            <w:tcW w:type="dxa" w:w="1440"/>
          </w:tcPr>
          <w:p>
            <w:r>
              <w:rPr>
                <w:rFonts w:ascii="Calibri" w:hAnsi="Calibri"/>
                <w:sz w:val="22"/>
              </w:rPr>
              <w:t>6.31%</w:t>
            </w:r>
          </w:p>
        </w:tc>
        <w:tc>
          <w:tcPr>
            <w:tcW w:type="dxa" w:w="1440"/>
          </w:tcPr>
          <w:p>
            <w:r>
              <w:rPr>
                <w:rFonts w:ascii="Calibri" w:hAnsi="Calibri"/>
                <w:b/>
                <w:color w:val="30A46C"/>
                <w:sz w:val="22"/>
              </w:rPr>
              <w:t>+12 bps better</w:t>
            </w:r>
          </w:p>
        </w:tc>
        <w:tc>
          <w:tcPr>
            <w:tcW w:type="dxa" w:w="1440"/>
          </w:tcPr>
          <w:p>
            <w:r>
              <w:rPr>
                <w:rFonts w:ascii="Calibri" w:hAnsi="Calibri"/>
                <w:sz w:val="22"/>
              </w:rPr>
              <w:t>Beat (lower = better)</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$3.09</w:t>
            </w:r>
          </w:p>
        </w:tc>
        <w:tc>
          <w:tcPr>
            <w:tcW w:type="dxa" w:w="1440"/>
          </w:tcPr>
          <w:p>
            <w:r>
              <w:rPr>
                <w:rFonts w:ascii="Calibri" w:hAnsi="Calibri"/>
                <w:sz w:val="22"/>
              </w:rPr>
              <w:t>$2.82</w:t>
            </w:r>
          </w:p>
        </w:tc>
        <w:tc>
          <w:tcPr>
            <w:tcW w:type="dxa" w:w="1440"/>
          </w:tcPr>
          <w:p>
            <w:r>
              <w:rPr>
                <w:rFonts w:ascii="Calibri" w:hAnsi="Calibri"/>
                <w:b/>
                <w:color w:val="30A46C"/>
                <w:sz w:val="22"/>
              </w:rPr>
              <w:t>+9.6%</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Dom. Card NCO Rate</w:t>
            </w:r>
          </w:p>
        </w:tc>
        <w:tc>
          <w:tcPr>
            <w:tcW w:type="dxa" w:w="1440"/>
          </w:tcPr>
          <w:p>
            <w:r>
              <w:rPr>
                <w:rFonts w:ascii="Calibri" w:hAnsi="Calibri"/>
                <w:sz w:val="22"/>
              </w:rPr>
              <w:t>6.06%</w:t>
            </w:r>
          </w:p>
        </w:tc>
        <w:tc>
          <w:tcPr>
            <w:tcW w:type="dxa" w:w="1440"/>
          </w:tcPr>
          <w:p>
            <w:r>
              <w:rPr>
                <w:rFonts w:ascii="Calibri" w:hAnsi="Calibri"/>
                <w:sz w:val="22"/>
              </w:rPr>
              <w:t>6.06%</w:t>
            </w:r>
          </w:p>
        </w:tc>
        <w:tc>
          <w:tcPr>
            <w:tcW w:type="dxa" w:w="1440"/>
          </w:tcPr>
          <w:p>
            <w:r>
              <w:rPr>
                <w:rFonts w:ascii="Calibri" w:hAnsi="Calibri"/>
                <w:sz w:val="22"/>
              </w:rPr>
              <w:t>In line</w:t>
            </w:r>
          </w:p>
        </w:tc>
        <w:tc>
          <w:tcPr>
            <w:tcW w:type="dxa" w:w="1440"/>
          </w:tcPr>
          <w:p>
            <w:r>
              <w:rPr>
                <w:rFonts w:ascii="Calibri" w:hAnsi="Calibri"/>
                <w:sz w:val="22"/>
              </w:rPr>
              <w:t>In Line</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$4.52</w:t>
            </w:r>
          </w:p>
        </w:tc>
        <w:tc>
          <w:tcPr>
            <w:tcW w:type="dxa" w:w="1440"/>
          </w:tcPr>
          <w:p>
            <w:r>
              <w:rPr>
                <w:rFonts w:ascii="Calibri" w:hAnsi="Calibri"/>
                <w:sz w:val="22"/>
              </w:rPr>
              <w:t>$3.81</w:t>
            </w:r>
          </w:p>
        </w:tc>
        <w:tc>
          <w:tcPr>
            <w:tcW w:type="dxa" w:w="1440"/>
          </w:tcPr>
          <w:p>
            <w:r>
              <w:rPr>
                <w:rFonts w:ascii="Calibri" w:hAnsi="Calibri"/>
                <w:b/>
                <w:color w:val="30A46C"/>
                <w:sz w:val="22"/>
              </w:rPr>
              <w:t>+18.6%</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Dom. Card NCO Rate</w:t>
            </w:r>
          </w:p>
        </w:tc>
        <w:tc>
          <w:tcPr>
            <w:tcW w:type="dxa" w:w="1440"/>
          </w:tcPr>
          <w:p>
            <w:r>
              <w:rPr>
                <w:rFonts w:ascii="Calibri" w:hAnsi="Calibri"/>
                <w:sz w:val="22"/>
              </w:rPr>
              <w:t>5.61%</w:t>
            </w:r>
          </w:p>
        </w:tc>
        <w:tc>
          <w:tcPr>
            <w:tcW w:type="dxa" w:w="1440"/>
          </w:tcPr>
          <w:p>
            <w:r>
              <w:rPr>
                <w:rFonts w:ascii="Calibri" w:hAnsi="Calibri"/>
                <w:sz w:val="22"/>
              </w:rPr>
              <w:t>5.69%</w:t>
            </w:r>
          </w:p>
        </w:tc>
        <w:tc>
          <w:tcPr>
            <w:tcW w:type="dxa" w:w="1440"/>
          </w:tcPr>
          <w:p>
            <w:r>
              <w:rPr>
                <w:rFonts w:ascii="Calibri" w:hAnsi="Calibri"/>
                <w:b/>
                <w:color w:val="30A46C"/>
                <w:sz w:val="22"/>
              </w:rPr>
              <w:t>+8 bps better</w:t>
            </w:r>
          </w:p>
        </w:tc>
        <w:tc>
          <w:tcPr>
            <w:tcW w:type="dxa" w:w="1440"/>
          </w:tcPr>
          <w:p>
            <w:r>
              <w:rPr>
                <w:rFonts w:ascii="Calibri" w:hAnsi="Calibri"/>
                <w:sz w:val="22"/>
              </w:rPr>
              <w:t>Beat (lower = better)</w:t>
            </w:r>
          </w:p>
        </w:tc>
      </w:tr>
    </w:tbl>
    <w:p>
      <w:r>
        <w:rPr>
          <w:rFonts w:ascii="Calibri" w:hAnsi="Calibri"/>
          <w:b/>
          <w:color w:val="525866"/>
          <w:sz w:val="22"/>
        </w:rPr>
        <w:t xml:space="preserve">Pattern: </w:t>
      </w:r>
      <w:r>
        <w:rPr>
          <w:rFonts w:ascii="Calibri" w:hAnsi="Calibri"/>
          <w:color w:val="525866"/>
          <w:sz w:val="22"/>
        </w:rPr>
        <w:t>COF has beaten on the domestic card NCO rate in 7 of the last 8 quarters (lower is better), demonstrating a consistent tendency to outperform credit expectations. EPS beats have been more mixed — two consecutive misses in Q4 2025 and Q1 2026 driven by elevated provisions and integration costs, though the credit-quality trend remains the more reliable signal for the stock.</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formal guidance revisions since the Q1 call — management does not provide specific numeric guidance. Tone has shifted more constructive on consumer health, and the Brex integration roadmap is the primary new disclosure to watch at Q2.</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21)</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Net Interest Margin</w:t>
            </w:r>
          </w:p>
        </w:tc>
        <w:tc>
          <w:tcPr>
            <w:tcW w:type="dxa" w:w="1728"/>
          </w:tcPr>
          <w:p>
            <w:r>
              <w:rPr>
                <w:rFonts w:ascii="Calibri" w:hAnsi="Calibri"/>
                <w:sz w:val="22"/>
              </w:rPr>
              <w:t>Structural NIM level post-Discover to persist; Q2 gets +9 bps from one extra calendar day; cash position to trend down from elevated Q1 level</w:t>
            </w:r>
          </w:p>
        </w:tc>
        <w:tc>
          <w:tcPr>
            <w:tcW w:type="dxa" w:w="1728"/>
          </w:tcPr>
          <w:p>
            <w:r>
              <w:rPr>
                <w:rFonts w:ascii="Calibri" w:hAnsi="Calibri"/>
                <w:sz w:val="22"/>
              </w:rPr>
              <w:t>—</w:t>
            </w:r>
          </w:p>
        </w:tc>
        <w:tc>
          <w:tcPr>
            <w:tcW w:type="dxa" w:w="1728"/>
          </w:tcPr>
          <w:p>
            <w:r>
              <w:rPr>
                <w:rFonts w:ascii="Calibri" w:hAnsi="Calibri"/>
                <w:sz w:val="22"/>
              </w:rPr>
              <w:t>8.02%</w:t>
            </w:r>
          </w:p>
        </w:tc>
        <w:tc>
          <w:tcPr>
            <w:tcW w:type="dxa" w:w="1728"/>
          </w:tcPr>
          <w:p>
            <w:r>
              <w:rPr>
                <w:rFonts w:ascii="Calibri" w:hAnsi="Calibri"/>
                <w:sz w:val="22"/>
              </w:rPr>
              <w:t>Unchanged; consensus in line with guidance trajectory</w:t>
            </w:r>
          </w:p>
        </w:tc>
      </w:tr>
      <w:tr>
        <w:tc>
          <w:tcPr>
            <w:tcW w:type="dxa" w:w="1728"/>
          </w:tcPr>
          <w:p>
            <w:r>
              <w:rPr>
                <w:rFonts w:ascii="Calibri" w:hAnsi="Calibri"/>
                <w:sz w:val="22"/>
              </w:rPr>
              <w:t>Marketing Expense</w:t>
            </w:r>
          </w:p>
        </w:tc>
        <w:tc>
          <w:tcPr>
            <w:tcW w:type="dxa" w:w="1728"/>
          </w:tcPr>
          <w:p>
            <w:r>
              <w:rPr>
                <w:rFonts w:ascii="Calibri" w:hAnsi="Calibri"/>
                <w:sz w:val="22"/>
              </w:rPr>
              <w:t>Heavier in Q2 and subsequent quarters vs. Q1; planned investments shifted out of Q1 into Q2+</w:t>
            </w:r>
          </w:p>
        </w:tc>
        <w:tc>
          <w:tcPr>
            <w:tcW w:type="dxa" w:w="1728"/>
          </w:tcPr>
          <w:p>
            <w:r>
              <w:rPr>
                <w:rFonts w:ascii="Calibri" w:hAnsi="Calibri"/>
                <w:sz w:val="22"/>
              </w:rPr>
              <w:t>—</w:t>
            </w:r>
          </w:p>
        </w:tc>
        <w:tc>
          <w:tcPr>
            <w:tcW w:type="dxa" w:w="1728"/>
          </w:tcPr>
          <w:p>
            <w:r>
              <w:rPr>
                <w:rFonts w:ascii="Calibri" w:hAnsi="Calibri"/>
                <w:sz w:val="22"/>
              </w:rPr>
              <w:t>$1.70B</w:t>
            </w:r>
          </w:p>
        </w:tc>
        <w:tc>
          <w:tcPr>
            <w:tcW w:type="dxa" w:w="1728"/>
          </w:tcPr>
          <w:p>
            <w:r>
              <w:rPr>
                <w:rFonts w:ascii="Calibri" w:hAnsi="Calibri"/>
                <w:sz w:val="22"/>
              </w:rPr>
              <w:t>Unchanged; consensus reflects step-up from $1.50B in Q1</w:t>
            </w:r>
          </w:p>
        </w:tc>
      </w:tr>
      <w:tr>
        <w:tc>
          <w:tcPr>
            <w:tcW w:type="dxa" w:w="1728"/>
          </w:tcPr>
          <w:p>
            <w:r>
              <w:rPr>
                <w:rFonts w:ascii="Calibri" w:hAnsi="Calibri"/>
                <w:sz w:val="22"/>
              </w:rPr>
              <w:t>Efficiency Ratio</w:t>
            </w:r>
          </w:p>
        </w:tc>
        <w:tc>
          <w:tcPr>
            <w:tcW w:type="dxa" w:w="1728"/>
          </w:tcPr>
          <w:p>
            <w:r>
              <w:rPr>
                <w:rFonts w:ascii="Calibri" w:hAnsi="Calibri"/>
                <w:sz w:val="22"/>
              </w:rPr>
              <w:t>Near-term upward pressure from Brex/Hopper, marketing, and Discover integration; no specific target</w:t>
            </w:r>
          </w:p>
        </w:tc>
        <w:tc>
          <w:tcPr>
            <w:tcW w:type="dxa" w:w="1728"/>
          </w:tcPr>
          <w:p>
            <w:r>
              <w:rPr>
                <w:rFonts w:ascii="Calibri" w:hAnsi="Calibri"/>
                <w:sz w:val="22"/>
              </w:rPr>
              <w:t>—</w:t>
            </w:r>
          </w:p>
        </w:tc>
        <w:tc>
          <w:tcPr>
            <w:tcW w:type="dxa" w:w="1728"/>
          </w:tcPr>
          <w:p>
            <w:r>
              <w:rPr>
                <w:rFonts w:ascii="Calibri" w:hAnsi="Calibri"/>
                <w:sz w:val="22"/>
              </w:rPr>
              <w:t>50.89%</w:t>
            </w:r>
          </w:p>
        </w:tc>
        <w:tc>
          <w:tcPr>
            <w:tcW w:type="dxa" w:w="1728"/>
          </w:tcPr>
          <w:p>
            <w:r>
              <w:rPr>
                <w:rFonts w:ascii="Calibri" w:hAnsi="Calibri"/>
                <w:sz w:val="22"/>
              </w:rPr>
              <w:t>Unchanged; consensus implies modest deterioration vs. Q1’s 49.71%</w:t>
            </w:r>
          </w:p>
        </w:tc>
      </w:tr>
      <w:tr>
        <w:tc>
          <w:tcPr>
            <w:tcW w:type="dxa" w:w="1728"/>
          </w:tcPr>
          <w:p>
            <w:r>
              <w:rPr>
                <w:rFonts w:ascii="Calibri" w:hAnsi="Calibri"/>
                <w:sz w:val="22"/>
              </w:rPr>
              <w:t>CET1 Capital Ratio</w:t>
            </w:r>
          </w:p>
        </w:tc>
        <w:tc>
          <w:tcPr>
            <w:tcW w:type="dxa" w:w="1728"/>
          </w:tcPr>
          <w:p>
            <w:r>
              <w:rPr>
                <w:rFonts w:ascii="Calibri" w:hAnsi="Calibri"/>
                <w:sz w:val="22"/>
              </w:rPr>
              <w:t>Brex to reduce CET1 by ~40 bps in Q2; long-term target ~11%; buybacks to continue</w:t>
            </w:r>
          </w:p>
        </w:tc>
        <w:tc>
          <w:tcPr>
            <w:tcW w:type="dxa" w:w="1728"/>
          </w:tcPr>
          <w:p>
            <w:r>
              <w:rPr>
                <w:rFonts w:ascii="Calibri" w:hAnsi="Calibri"/>
                <w:sz w:val="22"/>
              </w:rPr>
              <w:t>—</w:t>
            </w:r>
          </w:p>
        </w:tc>
        <w:tc>
          <w:tcPr>
            <w:tcW w:type="dxa" w:w="1728"/>
          </w:tcPr>
          <w:p>
            <w:r>
              <w:rPr>
                <w:rFonts w:ascii="Calibri" w:hAnsi="Calibri"/>
                <w:sz w:val="22"/>
              </w:rPr>
              <w:t>13.75%</w:t>
            </w:r>
          </w:p>
        </w:tc>
        <w:tc>
          <w:tcPr>
            <w:tcW w:type="dxa" w:w="1728"/>
          </w:tcPr>
          <w:p>
            <w:r>
              <w:rPr>
                <w:rFonts w:ascii="Calibri" w:hAnsi="Calibri"/>
                <w:sz w:val="22"/>
              </w:rPr>
              <w:t>Unchanged; consensus reflects Brex impact; still well above 11% target</w:t>
            </w:r>
          </w:p>
        </w:tc>
      </w:tr>
      <w:tr>
        <w:tc>
          <w:tcPr>
            <w:tcW w:type="dxa" w:w="1728"/>
          </w:tcPr>
          <w:p>
            <w:r>
              <w:rPr>
                <w:rFonts w:ascii="Calibri" w:hAnsi="Calibri"/>
                <w:sz w:val="22"/>
              </w:rPr>
              <w:t>Discover Integration Synergies</w:t>
            </w:r>
          </w:p>
        </w:tc>
        <w:tc>
          <w:tcPr>
            <w:tcW w:type="dxa" w:w="1728"/>
          </w:tcPr>
          <w:p>
            <w:r>
              <w:rPr>
                <w:rFonts w:ascii="Calibri" w:hAnsi="Calibri"/>
                <w:sz w:val="22"/>
              </w:rPr>
              <w:t>Full $2.5B synergies by mid-2027; new originations fully on COF platform by Sept 2026; back book by Jan 2027; full debit revenue synergies in Q2 results</w:t>
            </w:r>
          </w:p>
        </w:tc>
        <w:tc>
          <w:tcPr>
            <w:tcW w:type="dxa" w:w="1728"/>
          </w:tcPr>
          <w:p>
            <w:r>
              <w:rPr>
                <w:rFonts w:ascii="Calibri" w:hAnsi="Calibri"/>
                <w:sz w:val="22"/>
              </w:rPr>
              <w:t>—</w:t>
            </w:r>
          </w:p>
        </w:tc>
        <w:tc>
          <w:tcPr>
            <w:tcW w:type="dxa" w:w="1728"/>
          </w:tcPr>
          <w:p>
            <w:r>
              <w:rPr>
                <w:rFonts w:ascii="Calibri" w:hAnsi="Calibri"/>
                <w:sz w:val="22"/>
              </w:rPr>
              <w:t>N/A (not modeled separately)</w:t>
            </w:r>
          </w:p>
        </w:tc>
        <w:tc>
          <w:tcPr>
            <w:tcW w:type="dxa" w:w="1728"/>
          </w:tcPr>
          <w:p>
            <w:r>
              <w:rPr>
                <w:rFonts w:ascii="Calibri" w:hAnsi="Calibri"/>
                <w:sz w:val="22"/>
              </w:rPr>
              <w:t>Unchanged; Q2 will be first quarter with full debit revenue synergy benefit</w:t>
            </w:r>
          </w:p>
        </w:tc>
      </w:tr>
      <w:tr>
        <w:tc>
          <w:tcPr>
            <w:tcW w:type="dxa" w:w="1728"/>
          </w:tcPr>
          <w:p>
            <w:r>
              <w:rPr>
                <w:rFonts w:ascii="Calibri" w:hAnsi="Calibri"/>
                <w:sz w:val="22"/>
              </w:rPr>
              <w:t>Brex Integration</w:t>
            </w:r>
          </w:p>
        </w:tc>
        <w:tc>
          <w:tcPr>
            <w:tcW w:type="dxa" w:w="1728"/>
          </w:tcPr>
          <w:p>
            <w:r>
              <w:rPr>
                <w:rFonts w:ascii="Calibri" w:hAnsi="Calibri"/>
                <w:sz w:val="22"/>
              </w:rPr>
              <w:t>Closed Apr 7; purchase accounting marks to be disclosed at Q2 earnings; enablement strategy, not immediate full integration; Brex/Hopper to add to expense run rate</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b/>
                <w:sz w:val="22"/>
              </w:rPr>
              <w:t xml:space="preserve">New: </w:t>
            </w:r>
            <w:r>
              <w:rPr>
                <w:rFonts w:ascii="Calibri" w:hAnsi="Calibri"/>
                <w:sz w:val="22"/>
              </w:rPr>
              <w:t>Q2 will be first full quarter with Brex; purchase accounting disclosure is the key new data point</w:t>
            </w:r>
          </w:p>
        </w:tc>
      </w:tr>
      <w:tr>
        <w:tc>
          <w:tcPr>
            <w:tcW w:type="dxa" w:w="1728"/>
          </w:tcPr>
          <w:p>
            <w:r>
              <w:rPr>
                <w:rFonts w:ascii="Calibri" w:hAnsi="Calibri"/>
                <w:sz w:val="22"/>
              </w:rPr>
              <w:t>Long-Term Earnings Power (ROTCE)</w:t>
            </w:r>
          </w:p>
        </w:tc>
        <w:tc>
          <w:tcPr>
            <w:tcW w:type="dxa" w:w="1728"/>
          </w:tcPr>
          <w:p>
            <w:r>
              <w:rPr>
                <w:rFonts w:ascii="Calibri" w:hAnsi="Calibri"/>
                <w:sz w:val="22"/>
              </w:rPr>
              <w:t>Consistent with original Discover deal model (assumes 12.5% capital); inclusive of Brex and Hopper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management has not wavered on long-term earnings power commitment</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have drifted modestly lower since Q1 earnings, primarily on EPS (Brex dilution, higher marketing), while credit KPI estimates have improved. FY2026 EPS consensus is essentially flat since Q1, suggesting the market views near-term headwinds as transitory.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28, 2026)</w:t>
            </w:r>
          </w:p>
        </w:tc>
        <w:tc>
          <w:tcPr>
            <w:tcW w:type="dxa" w:w="1080"/>
            <w:shd w:val="clear" w:color="auto" w:fill="3B4259"/>
          </w:tcPr>
          <w:p>
            <w:r>
              <w:rPr>
                <w:rFonts w:ascii="Calibri" w:hAnsi="Calibri"/>
                <w:b/>
                <w:color w:val="FFFFFF"/>
                <w:sz w:val="22"/>
              </w:rPr>
              <w:t>Current Consensus (Jul 20,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Operating EPS — Q2 2026</w:t>
            </w:r>
          </w:p>
        </w:tc>
        <w:tc>
          <w:tcPr>
            <w:tcW w:type="dxa" w:w="1080"/>
          </w:tcPr>
          <w:p>
            <w:r>
              <w:rPr>
                <w:rFonts w:ascii="Calibri" w:hAnsi="Calibri"/>
                <w:sz w:val="22"/>
              </w:rPr>
              <w:t>$4.75</w:t>
            </w:r>
          </w:p>
        </w:tc>
        <w:tc>
          <w:tcPr>
            <w:tcW w:type="dxa" w:w="1080"/>
          </w:tcPr>
          <w:p>
            <w:r>
              <w:rPr>
                <w:rFonts w:ascii="Calibri" w:hAnsi="Calibri"/>
                <w:sz w:val="22"/>
              </w:rPr>
              <w:t>$4.81</w:t>
            </w:r>
          </w:p>
        </w:tc>
        <w:tc>
          <w:tcPr>
            <w:tcW w:type="dxa" w:w="1080"/>
          </w:tcPr>
          <w:p>
            <w:r>
              <w:rPr>
                <w:rFonts w:ascii="Calibri" w:hAnsi="Calibri"/>
                <w:b/>
                <w:color w:val="30A46C"/>
                <w:sz w:val="22"/>
              </w:rPr>
              <w:t>+1.3%</w:t>
            </w:r>
          </w:p>
        </w:tc>
        <w:tc>
          <w:tcPr>
            <w:tcW w:type="dxa" w:w="1080"/>
          </w:tcPr>
          <w:p>
            <w:r>
              <w:rPr>
                <w:rFonts w:ascii="Calibri" w:hAnsi="Calibri"/>
                <w:sz w:val="22"/>
              </w:rPr>
              <w:t>No specific guide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EPS — FY2026</w:t>
            </w:r>
          </w:p>
        </w:tc>
        <w:tc>
          <w:tcPr>
            <w:tcW w:type="dxa" w:w="1080"/>
          </w:tcPr>
          <w:p>
            <w:r>
              <w:rPr>
                <w:rFonts w:ascii="Calibri" w:hAnsi="Calibri"/>
                <w:sz w:val="22"/>
              </w:rPr>
              <w:t>$19.72</w:t>
            </w:r>
          </w:p>
        </w:tc>
        <w:tc>
          <w:tcPr>
            <w:tcW w:type="dxa" w:w="1080"/>
          </w:tcPr>
          <w:p>
            <w:r>
              <w:rPr>
                <w:rFonts w:ascii="Calibri" w:hAnsi="Calibri"/>
                <w:sz w:val="22"/>
              </w:rPr>
              <w:t>$19.83</w:t>
            </w:r>
          </w:p>
        </w:tc>
        <w:tc>
          <w:tcPr>
            <w:tcW w:type="dxa" w:w="1080"/>
          </w:tcPr>
          <w:p>
            <w:r>
              <w:rPr>
                <w:rFonts w:ascii="Calibri" w:hAnsi="Calibri"/>
                <w:b/>
                <w:color w:val="30A46C"/>
                <w:sz w:val="22"/>
              </w:rPr>
              <w:t>+0.6%</w:t>
            </w:r>
          </w:p>
        </w:tc>
        <w:tc>
          <w:tcPr>
            <w:tcW w:type="dxa" w:w="1080"/>
          </w:tcPr>
          <w:p>
            <w:r>
              <w:rPr>
                <w:rFonts w:ascii="Calibri" w:hAnsi="Calibri"/>
                <w:sz w:val="22"/>
              </w:rPr>
              <w:t>Earnings power consistent with deal model</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Net Revenue — Q2 2026</w:t>
            </w:r>
          </w:p>
        </w:tc>
        <w:tc>
          <w:tcPr>
            <w:tcW w:type="dxa" w:w="1080"/>
          </w:tcPr>
          <w:p>
            <w:r>
              <w:rPr>
                <w:rFonts w:ascii="Calibri" w:hAnsi="Calibri"/>
                <w:sz w:val="22"/>
              </w:rPr>
              <w:t>$15.73B</w:t>
            </w:r>
          </w:p>
        </w:tc>
        <w:tc>
          <w:tcPr>
            <w:tcW w:type="dxa" w:w="1080"/>
          </w:tcPr>
          <w:p>
            <w:r>
              <w:rPr>
                <w:rFonts w:ascii="Calibri" w:hAnsi="Calibri"/>
                <w:sz w:val="22"/>
              </w:rPr>
              <w:t>$15.80B</w:t>
            </w:r>
          </w:p>
        </w:tc>
        <w:tc>
          <w:tcPr>
            <w:tcW w:type="dxa" w:w="1080"/>
          </w:tcPr>
          <w:p>
            <w:r>
              <w:rPr>
                <w:rFonts w:ascii="Calibri" w:hAnsi="Calibri"/>
                <w:b/>
                <w:color w:val="30A46C"/>
                <w:sz w:val="22"/>
              </w:rPr>
              <w:t>+0.4%</w:t>
            </w:r>
          </w:p>
        </w:tc>
        <w:tc>
          <w:tcPr>
            <w:tcW w:type="dxa" w:w="1080"/>
          </w:tcPr>
          <w:p>
            <w:r>
              <w:rPr>
                <w:rFonts w:ascii="Calibri" w:hAnsi="Calibri"/>
                <w:sz w:val="22"/>
              </w:rPr>
              <w:t>No specific guide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Net Revenue — FY2026</w:t>
            </w:r>
          </w:p>
        </w:tc>
        <w:tc>
          <w:tcPr>
            <w:tcW w:type="dxa" w:w="1080"/>
          </w:tcPr>
          <w:p>
            <w:r>
              <w:rPr>
                <w:rFonts w:ascii="Calibri" w:hAnsi="Calibri"/>
                <w:sz w:val="22"/>
              </w:rPr>
              <w:t>$63.69B</w:t>
            </w:r>
          </w:p>
        </w:tc>
        <w:tc>
          <w:tcPr>
            <w:tcW w:type="dxa" w:w="1080"/>
          </w:tcPr>
          <w:p>
            <w:r>
              <w:rPr>
                <w:rFonts w:ascii="Calibri" w:hAnsi="Calibri"/>
                <w:sz w:val="22"/>
              </w:rPr>
              <w:t>$63.90B</w:t>
            </w:r>
          </w:p>
        </w:tc>
        <w:tc>
          <w:tcPr>
            <w:tcW w:type="dxa" w:w="1080"/>
          </w:tcPr>
          <w:p>
            <w:r>
              <w:rPr>
                <w:rFonts w:ascii="Calibri" w:hAnsi="Calibri"/>
                <w:b/>
                <w:color w:val="30A46C"/>
                <w:sz w:val="22"/>
              </w:rPr>
              <w:t>+0.3%</w:t>
            </w:r>
          </w:p>
        </w:tc>
        <w:tc>
          <w:tcPr>
            <w:tcW w:type="dxa" w:w="1080"/>
          </w:tcPr>
          <w:p>
            <w:r>
              <w:rPr>
                <w:rFonts w:ascii="Calibri" w:hAnsi="Calibri"/>
                <w:sz w:val="22"/>
              </w:rPr>
              <w:t>No specific guide</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Dom. Card NCO Rate — Q2 2026</w:t>
            </w:r>
          </w:p>
        </w:tc>
        <w:tc>
          <w:tcPr>
            <w:tcW w:type="dxa" w:w="1080"/>
          </w:tcPr>
          <w:p>
            <w:r>
              <w:rPr>
                <w:rFonts w:ascii="Calibri" w:hAnsi="Calibri"/>
                <w:sz w:val="22"/>
              </w:rPr>
              <w:t>4.90%</w:t>
            </w:r>
          </w:p>
        </w:tc>
        <w:tc>
          <w:tcPr>
            <w:tcW w:type="dxa" w:w="1080"/>
          </w:tcPr>
          <w:p>
            <w:r>
              <w:rPr>
                <w:rFonts w:ascii="Calibri" w:hAnsi="Calibri"/>
                <w:sz w:val="22"/>
              </w:rPr>
              <w:t>4.90%</w:t>
            </w:r>
          </w:p>
        </w:tc>
        <w:tc>
          <w:tcPr>
            <w:tcW w:type="dxa" w:w="1080"/>
          </w:tcPr>
          <w:p>
            <w:r>
              <w:rPr>
                <w:rFonts w:ascii="Calibri" w:hAnsi="Calibri"/>
                <w:sz w:val="22"/>
              </w:rPr>
              <w:t>Flat</w:t>
            </w:r>
          </w:p>
        </w:tc>
        <w:tc>
          <w:tcPr>
            <w:tcW w:type="dxa" w:w="1080"/>
          </w:tcPr>
          <w:p>
            <w:r>
              <w:rPr>
                <w:rFonts w:ascii="Calibri" w:hAnsi="Calibri"/>
                <w:sz w:val="22"/>
              </w:rPr>
              <w:t>Normal seasonality; credit settling out</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Monthly data tracking at/below — potential upside</w:t>
            </w:r>
          </w:p>
        </w:tc>
      </w:tr>
      <w:tr>
        <w:tc>
          <w:tcPr>
            <w:tcW w:type="dxa" w:w="1080"/>
          </w:tcPr>
          <w:p>
            <w:r>
              <w:rPr>
                <w:rFonts w:ascii="Calibri" w:hAnsi="Calibri"/>
                <w:sz w:val="22"/>
              </w:rPr>
              <w:t>Dom. Card Delinquency Rate — Q2 2026</w:t>
            </w:r>
          </w:p>
        </w:tc>
        <w:tc>
          <w:tcPr>
            <w:tcW w:type="dxa" w:w="1080"/>
          </w:tcPr>
          <w:p>
            <w:r>
              <w:rPr>
                <w:rFonts w:ascii="Calibri" w:hAnsi="Calibri"/>
                <w:sz w:val="22"/>
              </w:rPr>
              <w:t>3.53%</w:t>
            </w:r>
          </w:p>
        </w:tc>
        <w:tc>
          <w:tcPr>
            <w:tcW w:type="dxa" w:w="1080"/>
          </w:tcPr>
          <w:p>
            <w:r>
              <w:rPr>
                <w:rFonts w:ascii="Calibri" w:hAnsi="Calibri"/>
                <w:sz w:val="22"/>
              </w:rPr>
              <w:t>3.53%</w:t>
            </w:r>
          </w:p>
        </w:tc>
        <w:tc>
          <w:tcPr>
            <w:tcW w:type="dxa" w:w="1080"/>
          </w:tcPr>
          <w:p>
            <w:r>
              <w:rPr>
                <w:rFonts w:ascii="Calibri" w:hAnsi="Calibri"/>
                <w:sz w:val="22"/>
              </w:rPr>
              <w:t>Flat</w:t>
            </w:r>
          </w:p>
        </w:tc>
        <w:tc>
          <w:tcPr>
            <w:tcW w:type="dxa" w:w="1080"/>
          </w:tcPr>
          <w:p>
            <w:r>
              <w:rPr>
                <w:rFonts w:ascii="Calibri" w:hAnsi="Calibri"/>
                <w:sz w:val="22"/>
              </w:rPr>
              <w:t>Better than seasonality through April</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Monthly data (Apr 3.44%, May 3.33%) tracking well below — upside risk</w:t>
            </w:r>
          </w:p>
        </w:tc>
      </w:tr>
      <w:tr>
        <w:tc>
          <w:tcPr>
            <w:tcW w:type="dxa" w:w="1080"/>
          </w:tcPr>
          <w:p>
            <w:r>
              <w:rPr>
                <w:rFonts w:ascii="Calibri" w:hAnsi="Calibri"/>
                <w:sz w:val="22"/>
              </w:rPr>
              <w:t>Net Interest Margin — Q2 2026</w:t>
            </w:r>
          </w:p>
        </w:tc>
        <w:tc>
          <w:tcPr>
            <w:tcW w:type="dxa" w:w="1080"/>
          </w:tcPr>
          <w:p>
            <w:r>
              <w:rPr>
                <w:rFonts w:ascii="Calibri" w:hAnsi="Calibri"/>
                <w:sz w:val="22"/>
              </w:rPr>
              <w:t>8.05%</w:t>
            </w:r>
          </w:p>
        </w:tc>
        <w:tc>
          <w:tcPr>
            <w:tcW w:type="dxa" w:w="1080"/>
          </w:tcPr>
          <w:p>
            <w:r>
              <w:rPr>
                <w:rFonts w:ascii="Calibri" w:hAnsi="Calibri"/>
                <w:sz w:val="22"/>
              </w:rPr>
              <w:t>8.02%</w:t>
            </w:r>
          </w:p>
        </w:tc>
        <w:tc>
          <w:tcPr>
            <w:tcW w:type="dxa" w:w="1080"/>
          </w:tcPr>
          <w:p>
            <w:r>
              <w:rPr>
                <w:rFonts w:ascii="Calibri" w:hAnsi="Calibri"/>
                <w:b/>
                <w:color w:val="E5484D"/>
                <w:sz w:val="22"/>
              </w:rPr>
              <w:t>-0.4%</w:t>
            </w:r>
          </w:p>
        </w:tc>
        <w:tc>
          <w:tcPr>
            <w:tcW w:type="dxa" w:w="1080"/>
          </w:tcPr>
          <w:p>
            <w:r>
              <w:rPr>
                <w:rFonts w:ascii="Calibri" w:hAnsi="Calibri"/>
                <w:sz w:val="22"/>
              </w:rPr>
              <w:t>Structural level to persist; +9 bps from extra day</w:t>
            </w:r>
          </w:p>
        </w:tc>
        <w:tc>
          <w:tcPr>
            <w:tcW w:type="dxa" w:w="1080"/>
          </w:tcPr>
          <w:p>
            <w:r>
              <w:rPr>
                <w:rFonts w:ascii="Calibri" w:hAnsi="Calibri"/>
                <w:sz w:val="22"/>
              </w:rPr>
              <w:t>Unchanged</w:t>
            </w:r>
          </w:p>
        </w:tc>
        <w:tc>
          <w:tcPr>
            <w:tcW w:type="dxa" w:w="1080"/>
          </w:tcPr>
          <w:p>
            <w:r>
              <w:rPr>
                <w:rFonts w:ascii="Calibri" w:hAnsi="Calibri"/>
                <w:sz w:val="22"/>
              </w:rPr>
              <w:t>N/A</w:t>
            </w:r>
          </w:p>
        </w:tc>
        <w:tc>
          <w:tcPr>
            <w:tcW w:type="dxa" w:w="1080"/>
          </w:tcPr>
          <w:p>
            <w:r>
              <w:rPr>
                <w:rFonts w:ascii="Calibri" w:hAnsi="Calibri"/>
                <w:sz w:val="22"/>
              </w:rPr>
              <w:t>Consensus slightly below post-Q1 baseline; modest downward drift</w:t>
            </w:r>
          </w:p>
        </w:tc>
      </w:tr>
    </w:tbl>
    <w:p>
      <w:r>
        <w:rPr>
          <w:rFonts w:ascii="Calibri" w:hAnsi="Calibri"/>
          <w:color w:val="525866"/>
          <w:sz w:val="22"/>
        </w:rPr>
        <w:t>Estimates have been remarkably stable since Q1 earnings — EPS and revenue are essentially flat to slightly up, while credit KPI estimates are unchanged. The lack of downward revision despite Brex dilution and elevated marketing suggests the market has already priced in the near-term headwinds. The key divergence is between the consensus delinquency estimate (3.53%) and the actual monthly data (April 3.44%, May 3.33%), which represents a meaningful potential upside surprise if June holds.</w:t>
      </w:r>
    </w:p>
    <w:p>
      <w:r>
        <w:rPr>
          <w:rFonts w:ascii="Calibri" w:hAnsi="Calibri"/>
          <w:i/>
          <w:color w:val="525866"/>
          <w:sz w:val="22"/>
        </w:rPr>
        <w:t>Source: Visible Alpha Consensus and Actuals Data; Capital One Q1 2026 Earnings Call.</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COF has underperformed both the KBE (bank ETF) and S&amp;P 500 since Q1 earnings, driven almost entirely by multiple compression — the stock is down ~2% vs. KBE +8% and SPY +5% since April 21. The discount reflects integration uncertainty and near-term efficiency ratio pressure, not deteriorating fundamentals.</w:t>
      </w:r>
    </w:p>
    <w:p>
      <w:r>
        <w:rPr>
          <w:rFonts w:ascii="Calibri" w:hAnsi="Calibri"/>
          <w:color w:val="525866"/>
          <w:sz w:val="22"/>
        </w:rPr>
        <w:t xml:space="preserve">Since Q1 2026 earnings (April 21, 2026), COF has traded in a wide range of $177–$212, with the stock initially selling off to a low of ~$177 in mid-June before recovering sharply to ~$212 by July 16 as bank earnings season kicked off with broadly positive results. The stock closed at $206.77 on July 21 (pre-earnings). Over the full period since Q1 earnings, COF is approximately </w:t>
      </w:r>
      <w:r>
        <w:rPr>
          <w:rFonts w:ascii="Calibri" w:hAnsi="Calibri"/>
          <w:b/>
          <w:color w:val="525866"/>
          <w:sz w:val="22"/>
        </w:rPr>
        <w:t>+2.1%</w:t>
      </w:r>
      <w:r>
        <w:rPr>
          <w:rFonts w:ascii="Calibri" w:hAnsi="Calibri"/>
          <w:color w:val="525866"/>
          <w:sz w:val="22"/>
        </w:rPr>
        <w:t xml:space="preserve"> vs. KBE +8.4% and SPY +5.4% — a meaningful underperformance. The 6-month performance is worse: COF is down ~13% vs. the market, with the entire decline attributable to P/E multiple compression (from ~11.3x to ~9.3x NTM), not earnings revisions. This sets up an asymmetric risk/reward: if Q2 credit metrics confirm the improving trend, multiple re-rating is the most likely driver of outperformance.</w:t>
      </w:r>
    </w:p>
    <w:p>
      <w:r>
        <w:rPr>
          <w:rFonts w:ascii="Calibri" w:hAnsi="Calibri"/>
          <w:b/>
          <w:color w:val="525866"/>
          <w:sz w:val="22"/>
        </w:rPr>
        <w:t xml:space="preserve">Sector ETF used: </w:t>
      </w:r>
      <w:r>
        <w:rPr>
          <w:rFonts w:ascii="Calibri" w:hAnsi="Calibri"/>
          <w:color w:val="525866"/>
          <w:sz w:val="22"/>
        </w:rPr>
        <w:t>KBE (SPDR S&amp;P Bank ETF) — appropriate for COF given its primary classification as a large-cap consumer bank/credit card issuer.</w:t>
      </w:r>
    </w:p>
    <w:p>
      <w:pPr>
        <w:pStyle w:val="Heading3"/>
      </w:pPr>
      <w:r>
        <w:rPr>
          <w:rFonts w:ascii="Calibri" w:hAnsi="Calibri"/>
          <w:b/>
          <w:color w:val="3B4259"/>
          <w:sz w:val="24"/>
        </w:rPr>
        <w:t>COF vs. KBE vs. S&amp;P 500 — Indexed Performance Since Q1 2026 Earnings (April 21,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COF (Indexed)</w:t>
            </w:r>
          </w:p>
        </w:tc>
        <w:tc>
          <w:tcPr>
            <w:tcW w:type="dxa" w:w="2160"/>
            <w:shd w:val="clear" w:color="auto" w:fill="3B4259"/>
          </w:tcPr>
          <w:p>
            <w:r>
              <w:rPr>
                <w:rFonts w:ascii="Calibri" w:hAnsi="Calibri"/>
                <w:b/>
                <w:color w:val="FFFFFF"/>
                <w:sz w:val="22"/>
              </w:rPr>
              <w:t>KBE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Apr 21 (Base)</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13 (Trough)</w:t>
            </w:r>
          </w:p>
        </w:tc>
        <w:tc>
          <w:tcPr>
            <w:tcW w:type="dxa" w:w="2160"/>
          </w:tcPr>
          <w:p>
            <w:r>
              <w:rPr>
                <w:rFonts w:ascii="Calibri" w:hAnsi="Calibri"/>
                <w:sz w:val="22"/>
              </w:rPr>
              <w:t>89.7</w:t>
            </w:r>
          </w:p>
        </w:tc>
        <w:tc>
          <w:tcPr>
            <w:tcW w:type="dxa" w:w="2160"/>
          </w:tcPr>
          <w:p>
            <w:r>
              <w:rPr>
                <w:rFonts w:ascii="Calibri" w:hAnsi="Calibri"/>
                <w:sz w:val="22"/>
              </w:rPr>
              <w:t>96.3</w:t>
            </w:r>
          </w:p>
        </w:tc>
        <w:tc>
          <w:tcPr>
            <w:tcW w:type="dxa" w:w="2160"/>
          </w:tcPr>
          <w:p>
            <w:r>
              <w:rPr>
                <w:rFonts w:ascii="Calibri" w:hAnsi="Calibri"/>
                <w:sz w:val="22"/>
              </w:rPr>
              <w:t>105.4</w:t>
            </w:r>
          </w:p>
        </w:tc>
      </w:tr>
      <w:tr>
        <w:tc>
          <w:tcPr>
            <w:tcW w:type="dxa" w:w="2160"/>
          </w:tcPr>
          <w:p>
            <w:r>
              <w:rPr>
                <w:rFonts w:ascii="Calibri" w:hAnsi="Calibri"/>
                <w:sz w:val="22"/>
              </w:rPr>
              <w:t>Jun 12 (Credit 8-K)</w:t>
            </w:r>
          </w:p>
        </w:tc>
        <w:tc>
          <w:tcPr>
            <w:tcW w:type="dxa" w:w="2160"/>
          </w:tcPr>
          <w:p>
            <w:r>
              <w:rPr>
                <w:rFonts w:ascii="Calibri" w:hAnsi="Calibri"/>
                <w:sz w:val="22"/>
              </w:rPr>
              <w:t>91.2</w:t>
            </w:r>
          </w:p>
        </w:tc>
        <w:tc>
          <w:tcPr>
            <w:tcW w:type="dxa" w:w="2160"/>
          </w:tcPr>
          <w:p>
            <w:r>
              <w:rPr>
                <w:rFonts w:ascii="Calibri" w:hAnsi="Calibri"/>
                <w:sz w:val="22"/>
              </w:rPr>
              <w:t>104.3</w:t>
            </w:r>
          </w:p>
        </w:tc>
        <w:tc>
          <w:tcPr>
            <w:tcW w:type="dxa" w:w="2160"/>
          </w:tcPr>
          <w:p>
            <w:r>
              <w:rPr>
                <w:rFonts w:ascii="Calibri" w:hAnsi="Calibri"/>
                <w:sz w:val="22"/>
              </w:rPr>
              <w:t>105.3</w:t>
            </w:r>
          </w:p>
        </w:tc>
      </w:tr>
      <w:tr>
        <w:tc>
          <w:tcPr>
            <w:tcW w:type="dxa" w:w="2160"/>
          </w:tcPr>
          <w:p>
            <w:r>
              <w:rPr>
                <w:rFonts w:ascii="Calibri" w:hAnsi="Calibri"/>
                <w:sz w:val="22"/>
              </w:rPr>
              <w:t>Jun 16 (Recovery)</w:t>
            </w:r>
          </w:p>
        </w:tc>
        <w:tc>
          <w:tcPr>
            <w:tcW w:type="dxa" w:w="2160"/>
          </w:tcPr>
          <w:p>
            <w:r>
              <w:rPr>
                <w:rFonts w:ascii="Calibri" w:hAnsi="Calibri"/>
                <w:sz w:val="22"/>
              </w:rPr>
              <w:t>99.1</w:t>
            </w:r>
          </w:p>
        </w:tc>
        <w:tc>
          <w:tcPr>
            <w:tcW w:type="dxa" w:w="2160"/>
          </w:tcPr>
          <w:p>
            <w:r>
              <w:rPr>
                <w:rFonts w:ascii="Calibri" w:hAnsi="Calibri"/>
                <w:sz w:val="22"/>
              </w:rPr>
              <w:t>103.6</w:t>
            </w:r>
          </w:p>
        </w:tc>
        <w:tc>
          <w:tcPr>
            <w:tcW w:type="dxa" w:w="2160"/>
          </w:tcPr>
          <w:p>
            <w:r>
              <w:rPr>
                <w:rFonts w:ascii="Calibri" w:hAnsi="Calibri"/>
                <w:sz w:val="22"/>
              </w:rPr>
              <w:t>106.6</w:t>
            </w:r>
          </w:p>
        </w:tc>
      </w:tr>
      <w:tr>
        <w:tc>
          <w:tcPr>
            <w:tcW w:type="dxa" w:w="2160"/>
          </w:tcPr>
          <w:p>
            <w:r>
              <w:rPr>
                <w:rFonts w:ascii="Calibri" w:hAnsi="Calibri"/>
                <w:sz w:val="22"/>
              </w:rPr>
              <w:t>Jul 16 (Bank Earnings)</w:t>
            </w:r>
          </w:p>
        </w:tc>
        <w:tc>
          <w:tcPr>
            <w:tcW w:type="dxa" w:w="2160"/>
          </w:tcPr>
          <w:p>
            <w:r>
              <w:rPr>
                <w:rFonts w:ascii="Calibri" w:hAnsi="Calibri"/>
                <w:sz w:val="22"/>
              </w:rPr>
              <w:t>104.7</w:t>
            </w:r>
          </w:p>
        </w:tc>
        <w:tc>
          <w:tcPr>
            <w:tcW w:type="dxa" w:w="2160"/>
          </w:tcPr>
          <w:p>
            <w:r>
              <w:rPr>
                <w:rFonts w:ascii="Calibri" w:hAnsi="Calibri"/>
                <w:sz w:val="22"/>
              </w:rPr>
              <w:t>111.1</w:t>
            </w:r>
          </w:p>
        </w:tc>
        <w:tc>
          <w:tcPr>
            <w:tcW w:type="dxa" w:w="2160"/>
          </w:tcPr>
          <w:p>
            <w:r>
              <w:rPr>
                <w:rFonts w:ascii="Calibri" w:hAnsi="Calibri"/>
                <w:sz w:val="22"/>
              </w:rPr>
              <w:t>106.6</w:t>
            </w:r>
          </w:p>
        </w:tc>
      </w:tr>
      <w:tr>
        <w:tc>
          <w:tcPr>
            <w:tcW w:type="dxa" w:w="2160"/>
          </w:tcPr>
          <w:p>
            <w:r>
              <w:rPr>
                <w:rFonts w:ascii="Calibri" w:hAnsi="Calibri"/>
                <w:sz w:val="22"/>
              </w:rPr>
              <w:t>Jul 21 (Pre-Earnings)</w:t>
            </w:r>
          </w:p>
        </w:tc>
        <w:tc>
          <w:tcPr>
            <w:tcW w:type="dxa" w:w="2160"/>
          </w:tcPr>
          <w:p>
            <w:r>
              <w:rPr>
                <w:rFonts w:ascii="Calibri" w:hAnsi="Calibri"/>
                <w:sz w:val="22"/>
              </w:rPr>
              <w:t>102.1</w:t>
            </w:r>
          </w:p>
        </w:tc>
        <w:tc>
          <w:tcPr>
            <w:tcW w:type="dxa" w:w="2160"/>
          </w:tcPr>
          <w:p>
            <w:r>
              <w:rPr>
                <w:rFonts w:ascii="Calibri" w:hAnsi="Calibri"/>
                <w:sz w:val="22"/>
              </w:rPr>
              <w:t>108.3</w:t>
            </w:r>
          </w:p>
        </w:tc>
        <w:tc>
          <w:tcPr>
            <w:tcW w:type="dxa" w:w="2160"/>
          </w:tcPr>
          <w:p>
            <w:r>
              <w:rPr>
                <w:rFonts w:ascii="Calibri" w:hAnsi="Calibri"/>
                <w:sz w:val="22"/>
              </w:rPr>
              <w:t>105.4</w:t>
            </w:r>
          </w:p>
        </w:tc>
      </w:tr>
    </w:tbl>
    <w:p>
      <w:r>
        <w:rPr>
          <w:rFonts w:ascii="Calibri" w:hAnsi="Calibri"/>
          <w:b/>
          <w:color w:val="525866"/>
          <w:sz w:val="22"/>
        </w:rPr>
        <w:t>Key Events Since Q1 Earnings:</w:t>
      </w:r>
    </w:p>
    <w:p>
      <w:pPr>
        <w:pStyle w:val="ListBullet"/>
        <w:ind w:left="360" w:hanging="360"/>
      </w:pPr>
      <w:r>
        <w:rPr>
          <w:rFonts w:ascii="Calibri" w:hAnsi="Calibri"/>
          <w:b/>
          <w:color w:val="525866"/>
          <w:sz w:val="22"/>
        </w:rPr>
        <w:t>Apr 7:</w:t>
      </w:r>
      <w:r>
        <w:rPr>
          <w:rFonts w:ascii="Calibri" w:hAnsi="Calibri"/>
          <w:color w:val="525866"/>
          <w:sz w:val="22"/>
        </w:rPr>
        <w:t xml:space="preserve"> Brex acquisition closed — stock initially pressured on dilution concerns.</w:t>
      </w:r>
    </w:p>
    <w:p>
      <w:pPr>
        <w:pStyle w:val="ListBullet"/>
        <w:ind w:left="360" w:hanging="360"/>
      </w:pPr>
      <w:r>
        <w:rPr>
          <w:rFonts w:ascii="Calibri" w:hAnsi="Calibri"/>
          <w:b/>
          <w:color w:val="525866"/>
          <w:sz w:val="22"/>
        </w:rPr>
        <w:t>Apr 21:</w:t>
      </w:r>
      <w:r>
        <w:rPr>
          <w:rFonts w:ascii="Calibri" w:hAnsi="Calibri"/>
          <w:color w:val="525866"/>
          <w:sz w:val="22"/>
        </w:rPr>
        <w:t xml:space="preserve"> Q1 2026 earnings — EPS miss but constructive credit tone; stock base = 100.</w:t>
      </w:r>
    </w:p>
    <w:p>
      <w:pPr>
        <w:pStyle w:val="ListBullet"/>
        <w:ind w:left="360" w:hanging="360"/>
      </w:pPr>
      <w:r>
        <w:rPr>
          <w:rFonts w:ascii="Calibri" w:hAnsi="Calibri"/>
          <w:b/>
          <w:color w:val="525866"/>
          <w:sz w:val="22"/>
        </w:rPr>
        <w:t>May 14:</w:t>
      </w:r>
      <w:r>
        <w:rPr>
          <w:rFonts w:ascii="Calibri" w:hAnsi="Calibri"/>
          <w:color w:val="525866"/>
          <w:sz w:val="22"/>
        </w:rPr>
        <w:t xml:space="preserve"> April credit 8-K — domestic card NCO 4.94%, delinquency 3.44%; in-line to slightly better than feared.</w:t>
      </w:r>
    </w:p>
    <w:p>
      <w:pPr>
        <w:pStyle w:val="ListBullet"/>
        <w:ind w:left="360" w:hanging="360"/>
      </w:pPr>
      <w:r>
        <w:rPr>
          <w:rFonts w:ascii="Calibri" w:hAnsi="Calibri"/>
          <w:b/>
          <w:color w:val="525866"/>
          <w:sz w:val="22"/>
        </w:rPr>
        <w:t>Jun 12:</w:t>
      </w:r>
      <w:r>
        <w:rPr>
          <w:rFonts w:ascii="Calibri" w:hAnsi="Calibri"/>
          <w:color w:val="525866"/>
          <w:sz w:val="22"/>
        </w:rPr>
        <w:t xml:space="preserve"> May credit 8-K — domestic card NCO 4.82%, delinquency 3.33%; improving trend confirmed; stock began recovery.</w:t>
      </w:r>
    </w:p>
    <w:p>
      <w:pPr>
        <w:pStyle w:val="ListBullet"/>
        <w:ind w:left="360" w:hanging="360"/>
      </w:pPr>
      <w:r>
        <w:rPr>
          <w:rFonts w:ascii="Calibri" w:hAnsi="Calibri"/>
          <w:b/>
          <w:color w:val="525866"/>
          <w:sz w:val="22"/>
        </w:rPr>
        <w:t>Jun 25:</w:t>
      </w:r>
      <w:r>
        <w:rPr>
          <w:rFonts w:ascii="Calibri" w:hAnsi="Calibri"/>
          <w:color w:val="525866"/>
          <w:sz w:val="22"/>
        </w:rPr>
        <w:t xml:space="preserve"> COF announced Q2 2026 earnings webcast date (July 21).</w:t>
      </w:r>
    </w:p>
    <w:p>
      <w:pPr>
        <w:pStyle w:val="ListBullet"/>
        <w:ind w:left="360" w:hanging="360"/>
      </w:pPr>
      <w:r>
        <w:rPr>
          <w:rFonts w:ascii="Calibri" w:hAnsi="Calibri"/>
          <w:b/>
          <w:color w:val="525866"/>
          <w:sz w:val="22"/>
        </w:rPr>
        <w:t>Jul 14–17:</w:t>
      </w:r>
      <w:r>
        <w:rPr>
          <w:rFonts w:ascii="Calibri" w:hAnsi="Calibri"/>
          <w:color w:val="525866"/>
          <w:sz w:val="22"/>
        </w:rPr>
        <w:t xml:space="preserve"> Major bank earnings (JPM, BAC, C, WFC, GS, FITB, TFC, USB, CFG) — broadly positive credit read-throughs; COF rallied to ~$212 before settling.</w:t>
      </w:r>
    </w:p>
    <w:p>
      <w:r>
        <w:rPr>
          <w:rFonts w:ascii="Calibri" w:hAnsi="Calibri"/>
          <w:i/>
          <w:color w:val="525866"/>
          <w:sz w:val="22"/>
        </w:rPr>
        <w:t>Source: Stock Price Data (Yahoo Finance); Capital One SEC filings.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improving monthly credit data (April and May 8-Ks), which de-risks the single biggest bear concern heading into the print. The Brex purchase accounting disclosure at Q2 is the primary remaining uncertainty.</w:t>
      </w:r>
    </w:p>
    <w:p>
      <w:pPr>
        <w:pStyle w:val="ListBullet"/>
        <w:ind w:left="360" w:hanging="360"/>
      </w:pPr>
      <w:r>
        <w:rPr>
          <w:rFonts w:ascii="Calibri" w:hAnsi="Calibri"/>
          <w:b/>
          <w:color w:val="525866"/>
          <w:sz w:val="22"/>
        </w:rPr>
        <w:t>Jul 20, 2026 — COF defeats class-action lawsuit on interest rate cap.</w:t>
      </w:r>
      <w:r>
        <w:rPr>
          <w:rFonts w:ascii="Calibri" w:hAnsi="Calibri"/>
          <w:color w:val="525866"/>
          <w:sz w:val="22"/>
        </w:rPr>
        <w:t xml:space="preserve"> U.S. District Judge Theodore Chuang dismissed claims that Capital One imposed excessive interest rates on credit card customers, rejecting arguments that federal law forbade COF from charging rates above Virginia’s 6% maximum. </w:t>
      </w:r>
      <w:r>
        <w:rPr>
          <w:rFonts w:ascii="Calibri" w:hAnsi="Calibri"/>
          <w:b/>
          <w:color w:val="525866"/>
          <w:sz w:val="22"/>
        </w:rPr>
        <w:t>Implication:</w:t>
      </w:r>
      <w:r>
        <w:rPr>
          <w:rFonts w:ascii="Calibri" w:hAnsi="Calibri"/>
          <w:color w:val="525866"/>
          <w:sz w:val="22"/>
        </w:rPr>
        <w:t xml:space="preserve"> Removes a tail-risk legal liability; no financial impact expected.</w:t>
      </w:r>
    </w:p>
    <w:p>
      <w:pPr>
        <w:pStyle w:val="ListBullet"/>
        <w:ind w:left="360" w:hanging="360"/>
      </w:pPr>
      <w:r>
        <w:rPr>
          <w:rFonts w:ascii="Calibri" w:hAnsi="Calibri"/>
          <w:b/>
          <w:color w:val="525866"/>
          <w:sz w:val="22"/>
        </w:rPr>
        <w:t>Jun 12, 2026 — May 2026 credit 8-K: domestic card NCO rate 4.82%, delinquency 3.33%.</w:t>
      </w:r>
      <w:r>
        <w:rPr>
          <w:rFonts w:ascii="Calibri" w:hAnsi="Calibri"/>
          <w:color w:val="525866"/>
          <w:sz w:val="22"/>
        </w:rPr>
        <w:t xml:space="preserve"> Both metrics improved sequentially from April (4.94% / 3.44%) and are tracking below the Q2 consensus estimate of ~4.90% / 3.53%. </w:t>
      </w:r>
      <w:r>
        <w:rPr>
          <w:rFonts w:ascii="Calibri" w:hAnsi="Calibri"/>
          <w:b/>
          <w:color w:val="525866"/>
          <w:sz w:val="22"/>
        </w:rPr>
        <w:t>Implication:</w:t>
      </w:r>
      <w:r>
        <w:rPr>
          <w:rFonts w:ascii="Calibri" w:hAnsi="Calibri"/>
          <w:color w:val="525866"/>
          <w:sz w:val="22"/>
        </w:rPr>
        <w:t xml:space="preserve"> Positive setup for Q2 credit beat if June holds.</w:t>
      </w:r>
    </w:p>
    <w:p>
      <w:pPr>
        <w:pStyle w:val="ListBullet"/>
        <w:ind w:left="360" w:hanging="360"/>
      </w:pPr>
      <w:r>
        <w:rPr>
          <w:rFonts w:ascii="Calibri" w:hAnsi="Calibri"/>
          <w:b/>
          <w:color w:val="525866"/>
          <w:sz w:val="22"/>
        </w:rPr>
        <w:t>May 14, 2026 — April 2026 credit 8-K: domestic card NCO rate 4.94%, delinquency 3.44%.</w:t>
      </w:r>
      <w:r>
        <w:rPr>
          <w:rFonts w:ascii="Calibri" w:hAnsi="Calibri"/>
          <w:color w:val="525866"/>
          <w:sz w:val="22"/>
        </w:rPr>
        <w:t xml:space="preserve"> First monthly data point for Q2; NCO rate slightly above Q1’s 5.10% annualized but consistent with seasonal improvement. </w:t>
      </w:r>
      <w:r>
        <w:rPr>
          <w:rFonts w:ascii="Calibri" w:hAnsi="Calibri"/>
          <w:b/>
          <w:color w:val="525866"/>
          <w:sz w:val="22"/>
        </w:rPr>
        <w:t>Implication:</w:t>
      </w:r>
      <w:r>
        <w:rPr>
          <w:rFonts w:ascii="Calibri" w:hAnsi="Calibri"/>
          <w:color w:val="525866"/>
          <w:sz w:val="22"/>
        </w:rPr>
        <w:t xml:space="preserve"> Confirmed credit improvement trajectory from Q1.</w:t>
      </w:r>
    </w:p>
    <w:p>
      <w:pPr>
        <w:pStyle w:val="ListBullet"/>
        <w:ind w:left="360" w:hanging="360"/>
      </w:pPr>
      <w:r>
        <w:rPr>
          <w:rFonts w:ascii="Calibri" w:hAnsi="Calibri"/>
          <w:b/>
          <w:color w:val="525866"/>
          <w:sz w:val="22"/>
        </w:rPr>
        <w:t>May 8, 2026 — Shareholders reject golden parachute proposal at annual meeting.</w:t>
      </w:r>
      <w:r>
        <w:rPr>
          <w:rFonts w:ascii="Calibri" w:hAnsi="Calibri"/>
          <w:color w:val="525866"/>
          <w:sz w:val="22"/>
        </w:rPr>
        <w:t xml:space="preserve"> Non-binding advisory vote; no operational impact. </w:t>
      </w:r>
      <w:r>
        <w:rPr>
          <w:rFonts w:ascii="Calibri" w:hAnsi="Calibri"/>
          <w:b/>
          <w:color w:val="525866"/>
          <w:sz w:val="22"/>
        </w:rPr>
        <w:t>Implication:</w:t>
      </w:r>
      <w:r>
        <w:rPr>
          <w:rFonts w:ascii="Calibri" w:hAnsi="Calibri"/>
          <w:color w:val="525866"/>
          <w:sz w:val="22"/>
        </w:rPr>
        <w:t xml:space="preserve"> Minor governance note; no financial consequence.</w:t>
      </w:r>
    </w:p>
    <w:p>
      <w:pPr>
        <w:pStyle w:val="ListBullet"/>
        <w:ind w:left="360" w:hanging="360"/>
      </w:pPr>
      <w:r>
        <w:rPr>
          <w:rFonts w:ascii="Calibri" w:hAnsi="Calibri"/>
          <w:b/>
          <w:color w:val="525866"/>
          <w:sz w:val="22"/>
        </w:rPr>
        <w:t>Apr 23, 2026 — COF files prospectus for resale of 10.3M shares from Brex acquisition.</w:t>
      </w:r>
      <w:r>
        <w:rPr>
          <w:rFonts w:ascii="Calibri" w:hAnsi="Calibri"/>
          <w:color w:val="525866"/>
          <w:sz w:val="22"/>
        </w:rPr>
        <w:t xml:space="preserve"> Registration of shares issued to Brex shareholders as deal consideration. </w:t>
      </w:r>
      <w:r>
        <w:rPr>
          <w:rFonts w:ascii="Calibri" w:hAnsi="Calibri"/>
          <w:b/>
          <w:color w:val="525866"/>
          <w:sz w:val="22"/>
        </w:rPr>
        <w:t>Implication:</w:t>
      </w:r>
      <w:r>
        <w:rPr>
          <w:rFonts w:ascii="Calibri" w:hAnsi="Calibri"/>
          <w:color w:val="525866"/>
          <w:sz w:val="22"/>
        </w:rPr>
        <w:t xml:space="preserve"> Routine post-acquisition filing; modest technical overhang from potential selling by former Brex shareholders.</w:t>
      </w:r>
    </w:p>
    <w:p>
      <w:pPr>
        <w:pStyle w:val="ListBullet"/>
        <w:ind w:left="360" w:hanging="360"/>
      </w:pPr>
      <w:r>
        <w:rPr>
          <w:rFonts w:ascii="Calibri" w:hAnsi="Calibri"/>
          <w:b/>
          <w:color w:val="525866"/>
          <w:sz w:val="22"/>
        </w:rPr>
        <w:t>Apr 7, 2026 — Brex acquisition closed.</w:t>
      </w:r>
      <w:r>
        <w:rPr>
          <w:rFonts w:ascii="Calibri" w:hAnsi="Calibri"/>
          <w:color w:val="525866"/>
          <w:sz w:val="22"/>
        </w:rPr>
        <w:t xml:space="preserve"> Capital One completed the ~$4.5B acquisition of Brex, issuing unregistered stock. Q2 will be the first full quarter with Brex in the P&amp;L. </w:t>
      </w:r>
      <w:r>
        <w:rPr>
          <w:rFonts w:ascii="Calibri" w:hAnsi="Calibri"/>
          <w:b/>
          <w:color w:val="525866"/>
          <w:sz w:val="22"/>
        </w:rPr>
        <w:t>Implication:</w:t>
      </w:r>
      <w:r>
        <w:rPr>
          <w:rFonts w:ascii="Calibri" w:hAnsi="Calibri"/>
          <w:color w:val="525866"/>
          <w:sz w:val="22"/>
        </w:rPr>
        <w:t xml:space="preserve"> Purchase accounting marks, Brex/Hopper expense run rate, and initial integration progress will be disclosed at Q2 earnings — the key new disclosure.</w:t>
      </w:r>
    </w:p>
    <w:p>
      <w:pPr>
        <w:pStyle w:val="ListBullet"/>
        <w:ind w:left="360" w:hanging="360"/>
      </w:pPr>
      <w:r>
        <w:rPr>
          <w:rFonts w:ascii="Calibri" w:hAnsi="Calibri"/>
          <w:b/>
          <w:color w:val="525866"/>
          <w:sz w:val="22"/>
        </w:rPr>
        <w:t>Jul 14–17, 2026 — Major bank Q2 earnings season: broadly positive credit read-throughs.</w:t>
      </w:r>
      <w:r>
        <w:rPr>
          <w:rFonts w:ascii="Calibri" w:hAnsi="Calibri"/>
          <w:color w:val="525866"/>
          <w:sz w:val="22"/>
        </w:rPr>
        <w:t xml:space="preserve"> JPM, BAC, C, WFC, GS, FITB, TFC, USB, CFG all reported Q2 results with consumer credit metrics in-line to better than expected. BAC noted consumer charge-offs and delinquencies improved both YoY and QoQ. JPM lowered its full-year card NCO rate outlook to ~3.2%. Citi guided to a full-year US card NCO rate of 4.0–4.5%, a lower range than prior. </w:t>
      </w:r>
      <w:r>
        <w:rPr>
          <w:rFonts w:ascii="Calibri" w:hAnsi="Calibri"/>
          <w:b/>
          <w:color w:val="525866"/>
          <w:sz w:val="22"/>
        </w:rPr>
        <w:t>Implication:</w:t>
      </w:r>
      <w:r>
        <w:rPr>
          <w:rFonts w:ascii="Calibri" w:hAnsi="Calibri"/>
          <w:color w:val="525866"/>
          <w:sz w:val="22"/>
        </w:rPr>
        <w:t xml:space="preserve"> Strong positive read-through for COF’s Q2 credit metrics.</w:t>
      </w:r>
    </w:p>
    <w:p>
      <w:pPr>
        <w:pStyle w:val="ListBullet"/>
        <w:ind w:left="360" w:hanging="360"/>
      </w:pPr>
      <w:r>
        <w:rPr>
          <w:rFonts w:ascii="Calibri" w:hAnsi="Calibri"/>
          <w:b/>
          <w:color w:val="525866"/>
          <w:sz w:val="22"/>
        </w:rPr>
        <w:t>Jul 6–13, 2026 — Macro backdrop: US CPI fell 0.4% in June (largest monthly decline since COVID); labor market stable.</w:t>
      </w:r>
      <w:r>
        <w:rPr>
          <w:rFonts w:ascii="Calibri" w:hAnsi="Calibri"/>
          <w:color w:val="525866"/>
          <w:sz w:val="22"/>
        </w:rPr>
        <w:t xml:space="preserve"> Inflation cooling and stable unemployment are the two most important macro inputs for COF’s credit portfolio. </w:t>
      </w:r>
      <w:r>
        <w:rPr>
          <w:rFonts w:ascii="Calibri" w:hAnsi="Calibri"/>
          <w:b/>
          <w:color w:val="525866"/>
          <w:sz w:val="22"/>
        </w:rPr>
        <w:t>Implication:</w:t>
      </w:r>
      <w:r>
        <w:rPr>
          <w:rFonts w:ascii="Calibri" w:hAnsi="Calibri"/>
          <w:color w:val="525866"/>
          <w:sz w:val="22"/>
        </w:rPr>
        <w:t xml:space="preserve"> Positive for consumer credit health; reduces risk of reserve build.</w:t>
      </w:r>
    </w:p>
    <w:p>
      <w:pPr>
        <w:pStyle w:val="ListBullet"/>
        <w:ind w:left="360" w:hanging="360"/>
      </w:pPr>
      <w:r>
        <w:rPr>
          <w:rFonts w:ascii="Calibri" w:hAnsi="Calibri"/>
          <w:b/>
          <w:color w:val="525866"/>
          <w:sz w:val="22"/>
        </w:rPr>
        <w:t>Jun 25, 2026 — COF announces Q2 2026 earnings webcast date (July 21, 5:00 PM ET).</w:t>
      </w:r>
      <w:r>
        <w:rPr>
          <w:rFonts w:ascii="Calibri" w:hAnsi="Calibri"/>
          <w:color w:val="525866"/>
          <w:sz w:val="22"/>
        </w:rPr>
        <w:t xml:space="preserve"> Routine announcement. </w:t>
      </w:r>
      <w:r>
        <w:rPr>
          <w:rFonts w:ascii="Calibri" w:hAnsi="Calibri"/>
          <w:b/>
          <w:color w:val="525866"/>
          <w:sz w:val="22"/>
        </w:rPr>
        <w:t>Implication:</w:t>
      </w:r>
      <w:r>
        <w:rPr>
          <w:rFonts w:ascii="Calibri" w:hAnsi="Calibri"/>
          <w:color w:val="525866"/>
          <w:sz w:val="22"/>
        </w:rPr>
        <w:t xml:space="preserve"> Confirms earnings schedule.</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All insider activity since Q1 earnings consists of pre-planned 10b5-1 sales — no discretionary open-market selling and no open-market buying. The pattern is routine and carries no negative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Cooper, Matthew W.</w:t>
            </w:r>
          </w:p>
        </w:tc>
        <w:tc>
          <w:tcPr>
            <w:tcW w:type="dxa" w:w="1440"/>
          </w:tcPr>
          <w:p>
            <w:r>
              <w:rPr>
                <w:rFonts w:ascii="Calibri" w:hAnsi="Calibri"/>
                <w:sz w:val="22"/>
              </w:rPr>
              <w:t>General Counsel &amp; Corp. Secretary</w:t>
            </w:r>
          </w:p>
        </w:tc>
        <w:tc>
          <w:tcPr>
            <w:tcW w:type="dxa" w:w="1440"/>
          </w:tcPr>
          <w:p>
            <w:r>
              <w:rPr>
                <w:rFonts w:ascii="Calibri" w:hAnsi="Calibri"/>
                <w:sz w:val="22"/>
              </w:rPr>
              <w:t>10b5-1 Planned Sale</w:t>
            </w:r>
          </w:p>
        </w:tc>
        <w:tc>
          <w:tcPr>
            <w:tcW w:type="dxa" w:w="1440"/>
          </w:tcPr>
          <w:p>
            <w:r>
              <w:rPr>
                <w:rFonts w:ascii="Calibri" w:hAnsi="Calibri"/>
                <w:sz w:val="22"/>
              </w:rPr>
              <w:t>~$728K (3,500 shares)</w:t>
            </w:r>
          </w:p>
        </w:tc>
        <w:tc>
          <w:tcPr>
            <w:tcW w:type="dxa" w:w="1440"/>
          </w:tcPr>
          <w:p>
            <w:r>
              <w:rPr>
                <w:rFonts w:ascii="Calibri" w:hAnsi="Calibri"/>
                <w:sz w:val="22"/>
              </w:rPr>
              <w:t>Jul 7, 2026</w:t>
            </w:r>
          </w:p>
        </w:tc>
        <w:tc>
          <w:tcPr>
            <w:tcW w:type="dxa" w:w="1440"/>
          </w:tcPr>
          <w:p>
            <w:r>
              <w:rPr>
                <w:rFonts w:ascii="Calibri" w:hAnsi="Calibri"/>
                <w:sz w:val="22"/>
              </w:rPr>
              <w:t>Pre-planned (10b5-1 plan est. Apr 9, 2026); third consecutive monthly sale of identical size — routine</w:t>
            </w:r>
          </w:p>
        </w:tc>
      </w:tr>
      <w:tr>
        <w:tc>
          <w:tcPr>
            <w:tcW w:type="dxa" w:w="1440"/>
          </w:tcPr>
          <w:p>
            <w:r>
              <w:rPr>
                <w:rFonts w:ascii="Calibri" w:hAnsi="Calibri"/>
                <w:sz w:val="22"/>
              </w:rPr>
              <w:t>Cooper, Matthew W.</w:t>
            </w:r>
          </w:p>
        </w:tc>
        <w:tc>
          <w:tcPr>
            <w:tcW w:type="dxa" w:w="1440"/>
          </w:tcPr>
          <w:p>
            <w:r>
              <w:rPr>
                <w:rFonts w:ascii="Calibri" w:hAnsi="Calibri"/>
                <w:sz w:val="22"/>
              </w:rPr>
              <w:t>General Counsel &amp; Corp. Secretary</w:t>
            </w:r>
          </w:p>
        </w:tc>
        <w:tc>
          <w:tcPr>
            <w:tcW w:type="dxa" w:w="1440"/>
          </w:tcPr>
          <w:p>
            <w:r>
              <w:rPr>
                <w:rFonts w:ascii="Calibri" w:hAnsi="Calibri"/>
                <w:sz w:val="22"/>
              </w:rPr>
              <w:t>10b5-1 Planned Sale</w:t>
            </w:r>
          </w:p>
        </w:tc>
        <w:tc>
          <w:tcPr>
            <w:tcW w:type="dxa" w:w="1440"/>
          </w:tcPr>
          <w:p>
            <w:r>
              <w:rPr>
                <w:rFonts w:ascii="Calibri" w:hAnsi="Calibri"/>
                <w:sz w:val="22"/>
              </w:rPr>
              <w:t>~$683K (3,500 shares)</w:t>
            </w:r>
          </w:p>
        </w:tc>
        <w:tc>
          <w:tcPr>
            <w:tcW w:type="dxa" w:w="1440"/>
          </w:tcPr>
          <w:p>
            <w:r>
              <w:rPr>
                <w:rFonts w:ascii="Calibri" w:hAnsi="Calibri"/>
                <w:sz w:val="22"/>
              </w:rPr>
              <w:t>Jun 2, 2026</w:t>
            </w:r>
          </w:p>
        </w:tc>
        <w:tc>
          <w:tcPr>
            <w:tcW w:type="dxa" w:w="1440"/>
          </w:tcPr>
          <w:p>
            <w:r>
              <w:rPr>
                <w:rFonts w:ascii="Calibri" w:hAnsi="Calibri"/>
                <w:sz w:val="22"/>
              </w:rPr>
              <w:t>Pre-planned (10b5-1); same plan, same share count as prior months</w:t>
            </w:r>
          </w:p>
        </w:tc>
      </w:tr>
      <w:tr>
        <w:tc>
          <w:tcPr>
            <w:tcW w:type="dxa" w:w="1440"/>
          </w:tcPr>
          <w:p>
            <w:r>
              <w:rPr>
                <w:rFonts w:ascii="Calibri" w:hAnsi="Calibri"/>
                <w:sz w:val="22"/>
              </w:rPr>
              <w:t>Cooper, Matthew W.</w:t>
            </w:r>
          </w:p>
        </w:tc>
        <w:tc>
          <w:tcPr>
            <w:tcW w:type="dxa" w:w="1440"/>
          </w:tcPr>
          <w:p>
            <w:r>
              <w:rPr>
                <w:rFonts w:ascii="Calibri" w:hAnsi="Calibri"/>
                <w:sz w:val="22"/>
              </w:rPr>
              <w:t>General Counsel &amp; Corp. Secretary</w:t>
            </w:r>
          </w:p>
        </w:tc>
        <w:tc>
          <w:tcPr>
            <w:tcW w:type="dxa" w:w="1440"/>
          </w:tcPr>
          <w:p>
            <w:r>
              <w:rPr>
                <w:rFonts w:ascii="Calibri" w:hAnsi="Calibri"/>
                <w:sz w:val="22"/>
              </w:rPr>
              <w:t>10b5-1 Planned Sale</w:t>
            </w:r>
          </w:p>
        </w:tc>
        <w:tc>
          <w:tcPr>
            <w:tcW w:type="dxa" w:w="1440"/>
          </w:tcPr>
          <w:p>
            <w:r>
              <w:rPr>
                <w:rFonts w:ascii="Calibri" w:hAnsi="Calibri"/>
                <w:sz w:val="22"/>
              </w:rPr>
              <w:t>~$663K (3,500 shares)</w:t>
            </w:r>
          </w:p>
        </w:tc>
        <w:tc>
          <w:tcPr>
            <w:tcW w:type="dxa" w:w="1440"/>
          </w:tcPr>
          <w:p>
            <w:r>
              <w:rPr>
                <w:rFonts w:ascii="Calibri" w:hAnsi="Calibri"/>
                <w:sz w:val="22"/>
              </w:rPr>
              <w:t>May 12, 2026</w:t>
            </w:r>
          </w:p>
        </w:tc>
        <w:tc>
          <w:tcPr>
            <w:tcW w:type="dxa" w:w="1440"/>
          </w:tcPr>
          <w:p>
            <w:r>
              <w:rPr>
                <w:rFonts w:ascii="Calibri" w:hAnsi="Calibri"/>
                <w:sz w:val="22"/>
              </w:rPr>
              <w:t>Pre-planned (10b5-1); routine monthly sale</w:t>
            </w:r>
          </w:p>
        </w:tc>
      </w:tr>
      <w:tr>
        <w:tc>
          <w:tcPr>
            <w:tcW w:type="dxa" w:w="1440"/>
          </w:tcPr>
          <w:p>
            <w:r>
              <w:rPr>
                <w:rFonts w:ascii="Calibri" w:hAnsi="Calibri"/>
                <w:sz w:val="22"/>
              </w:rPr>
              <w:t>Haggerty, Kaitlin</w:t>
            </w:r>
          </w:p>
        </w:tc>
        <w:tc>
          <w:tcPr>
            <w:tcW w:type="dxa" w:w="1440"/>
          </w:tcPr>
          <w:p>
            <w:r>
              <w:rPr>
                <w:rFonts w:ascii="Calibri" w:hAnsi="Calibri"/>
                <w:sz w:val="22"/>
              </w:rPr>
              <w:t>Chief Human Resources Officer</w:t>
            </w:r>
          </w:p>
        </w:tc>
        <w:tc>
          <w:tcPr>
            <w:tcW w:type="dxa" w:w="1440"/>
          </w:tcPr>
          <w:p>
            <w:r>
              <w:rPr>
                <w:rFonts w:ascii="Calibri" w:hAnsi="Calibri"/>
                <w:sz w:val="22"/>
              </w:rPr>
              <w:t>10b5-1 Planned Sale</w:t>
            </w:r>
          </w:p>
        </w:tc>
        <w:tc>
          <w:tcPr>
            <w:tcW w:type="dxa" w:w="1440"/>
          </w:tcPr>
          <w:p>
            <w:r>
              <w:rPr>
                <w:rFonts w:ascii="Calibri" w:hAnsi="Calibri"/>
                <w:sz w:val="22"/>
              </w:rPr>
              <w:t>~$247K (1,307 + 119 shares)</w:t>
            </w:r>
          </w:p>
        </w:tc>
        <w:tc>
          <w:tcPr>
            <w:tcW w:type="dxa" w:w="1440"/>
          </w:tcPr>
          <w:p>
            <w:r>
              <w:rPr>
                <w:rFonts w:ascii="Calibri" w:hAnsi="Calibri"/>
                <w:sz w:val="22"/>
              </w:rPr>
              <w:t>May 12–13, 2026</w:t>
            </w:r>
          </w:p>
        </w:tc>
        <w:tc>
          <w:tcPr>
            <w:tcW w:type="dxa" w:w="1440"/>
          </w:tcPr>
          <w:p>
            <w:r>
              <w:rPr>
                <w:rFonts w:ascii="Calibri" w:hAnsi="Calibri"/>
                <w:sz w:val="22"/>
              </w:rPr>
              <w:t>Pre-planned (10b5-1); two-day execution of same plan; routine</w:t>
            </w:r>
          </w:p>
        </w:tc>
      </w:tr>
      <w:tr>
        <w:tc>
          <w:tcPr>
            <w:tcW w:type="dxa" w:w="1440"/>
          </w:tcPr>
          <w:p>
            <w:r>
              <w:rPr>
                <w:rFonts w:ascii="Calibri" w:hAnsi="Calibri"/>
                <w:sz w:val="22"/>
              </w:rPr>
              <w:t>Karam, Celia</w:t>
            </w:r>
          </w:p>
        </w:tc>
        <w:tc>
          <w:tcPr>
            <w:tcW w:type="dxa" w:w="1440"/>
          </w:tcPr>
          <w:p>
            <w:r>
              <w:rPr>
                <w:rFonts w:ascii="Calibri" w:hAnsi="Calibri"/>
                <w:sz w:val="22"/>
              </w:rPr>
              <w:t>President, Retail Bank</w:t>
            </w:r>
          </w:p>
        </w:tc>
        <w:tc>
          <w:tcPr>
            <w:tcW w:type="dxa" w:w="1440"/>
          </w:tcPr>
          <w:p>
            <w:r>
              <w:rPr>
                <w:rFonts w:ascii="Calibri" w:hAnsi="Calibri"/>
                <w:sz w:val="22"/>
              </w:rPr>
              <w:t>10b5-1 Planned Sale</w:t>
            </w:r>
          </w:p>
        </w:tc>
        <w:tc>
          <w:tcPr>
            <w:tcW w:type="dxa" w:w="1440"/>
          </w:tcPr>
          <w:p>
            <w:r>
              <w:rPr>
                <w:rFonts w:ascii="Calibri" w:hAnsi="Calibri"/>
                <w:sz w:val="22"/>
              </w:rPr>
              <w:t>~$333K (1,749 shares)</w:t>
            </w:r>
          </w:p>
        </w:tc>
        <w:tc>
          <w:tcPr>
            <w:tcW w:type="dxa" w:w="1440"/>
          </w:tcPr>
          <w:p>
            <w:r>
              <w:rPr>
                <w:rFonts w:ascii="Calibri" w:hAnsi="Calibri"/>
                <w:sz w:val="22"/>
              </w:rPr>
              <w:t>May 1, 2026</w:t>
            </w:r>
          </w:p>
        </w:tc>
        <w:tc>
          <w:tcPr>
            <w:tcW w:type="dxa" w:w="1440"/>
          </w:tcPr>
          <w:p>
            <w:r>
              <w:rPr>
                <w:rFonts w:ascii="Calibri" w:hAnsi="Calibri"/>
                <w:sz w:val="22"/>
              </w:rPr>
              <w:t>Pre-planned (10b5-1); routine</w:t>
            </w:r>
          </w:p>
        </w:tc>
      </w:tr>
    </w:tbl>
    <w:p>
      <w:r>
        <w:rPr>
          <w:rFonts w:ascii="Calibri" w:hAnsi="Calibri"/>
          <w:color w:val="525866"/>
          <w:sz w:val="22"/>
        </w:rPr>
        <w:t>All transactions are pre-planned 10b5-1 sales — none are discretionary open-market sells. The General Counsel’s monthly 3,500-share sales are mechanical and carry no informational content. No open-market purchases were filed in the period, which is neutral (not unusual for a large-cap financial). Overall, insider activity is unremarkable and does not provide a directional signal.</w:t>
      </w:r>
    </w:p>
    <w:p>
      <w:r>
        <w:rPr>
          <w:rFonts w:ascii="Calibri" w:hAnsi="Calibri"/>
          <w:i/>
          <w:color w:val="525866"/>
          <w:sz w:val="22"/>
        </w:rPr>
        <w:t>Source: SEC Form 4 Filings Database.</w:t>
      </w:r>
    </w:p>
    <w:p>
      <w:r>
        <w:br w:type="page"/>
      </w:r>
    </w:p>
    <w:p>
      <w:pPr>
        <w:pStyle w:val="Heading2"/>
      </w:pPr>
      <w:r>
        <w:rPr>
          <w:rFonts w:ascii="Calibri" w:hAnsi="Calibri"/>
          <w:b/>
          <w:color w:val="3B4259"/>
          <w:sz w:val="28"/>
        </w:rPr>
        <w:t>8. Peer Commentary &amp; Read-Through</w:t>
      </w:r>
    </w:p>
    <w:p>
      <w:r>
        <w:rPr>
          <w:rFonts w:ascii="Calibri" w:hAnsi="Calibri"/>
          <w:b/>
          <w:color w:val="525866"/>
          <w:sz w:val="22"/>
        </w:rPr>
        <w:t xml:space="preserve">Key Takeaway: </w:t>
      </w:r>
      <w:r>
        <w:rPr>
          <w:rFonts w:ascii="Calibri" w:hAnsi="Calibri"/>
          <w:color w:val="525866"/>
          <w:sz w:val="22"/>
        </w:rPr>
        <w:t>Peer commentary from the last 60 days is uniformly constructive on Q2 2026 consumer credit and spending — every major bank reporting Q2 results cited better-than-expected credit metrics, resilient consumer spending, and a stable macro backdrop. This is the strongest positive read-through setup COF has had in several quarters.</w:t>
      </w:r>
    </w:p>
    <w:p>
      <w:r>
        <w:rPr>
          <w:rFonts w:ascii="Calibri" w:hAnsi="Calibri"/>
          <w:b/>
          <w:color w:val="525866"/>
          <w:sz w:val="22"/>
        </w:rPr>
        <w:t xml:space="preserve">Scope: </w:t>
      </w:r>
      <w:r>
        <w:rPr>
          <w:rFonts w:ascii="Calibri" w:hAnsi="Calibri"/>
          <w:i/>
          <w:color w:val="525866"/>
          <w:sz w:val="22"/>
        </w:rPr>
        <w:t>Only commentary made within the last 60 days (since May 21, 2026) that addresses current Q2 2026 conditions or was made after peers’ most recent earnings is included below. Retrospective commentary solely about prior-quarter results is excluded.</w:t>
      </w:r>
    </w:p>
    <w:p>
      <w:pPr>
        <w:pStyle w:val="Heading3"/>
      </w:pPr>
      <w:r>
        <w:rPr>
          <w:rFonts w:ascii="Calibri" w:hAnsi="Calibri"/>
          <w:b/>
          <w:color w:val="3B4259"/>
          <w:sz w:val="24"/>
        </w:rPr>
        <w:t>American Express (AXP) — Bernstein Conference, May 28, 2026</w:t>
      </w:r>
    </w:p>
    <w:p>
      <w:r>
        <w:rPr>
          <w:rFonts w:ascii="Calibri" w:hAnsi="Calibri"/>
          <w:b/>
          <w:color w:val="525866"/>
          <w:sz w:val="22"/>
        </w:rPr>
        <w:t xml:space="preserve">Read-Through: </w:t>
      </w:r>
      <w:r>
        <w:rPr>
          <w:rFonts w:ascii="Calibri" w:hAnsi="Calibri"/>
          <w:b/>
          <w:color w:val="30A46C"/>
          <w:sz w:val="22"/>
        </w:rPr>
        <w:t>Positive</w:t>
      </w:r>
      <w:r>
        <w:rPr>
          <w:rFonts w:ascii="Calibri" w:hAnsi="Calibri"/>
          <w:color w:val="525866"/>
          <w:sz w:val="22"/>
        </w:rPr>
        <w:t xml:space="preserve"> on consumer spending and credit; </w:t>
      </w:r>
      <w:r>
        <w:rPr>
          <w:rFonts w:ascii="Calibri" w:hAnsi="Calibri"/>
          <w:b/>
          <w:color w:val="525866"/>
          <w:sz w:val="22"/>
        </w:rPr>
        <w:t>Neutral</w:t>
      </w:r>
      <w:r>
        <w:rPr>
          <w:rFonts w:ascii="Calibri" w:hAnsi="Calibri"/>
          <w:color w:val="525866"/>
          <w:sz w:val="22"/>
        </w:rPr>
        <w:t xml:space="preserve"> on funding.</w:t>
      </w:r>
    </w:p>
    <w:p>
      <w:pPr>
        <w:pStyle w:val="ListBullet"/>
        <w:ind w:left="360" w:hanging="360"/>
      </w:pPr>
      <w:r>
        <w:rPr>
          <w:rFonts w:ascii="Calibri" w:hAnsi="Calibri"/>
          <w:b/>
          <w:color w:val="525866"/>
          <w:sz w:val="22"/>
        </w:rPr>
        <w:t xml:space="preserve">Q2 spending tracking ahead of Q1: </w:t>
      </w:r>
      <w:r>
        <w:rPr>
          <w:rFonts w:ascii="Calibri" w:hAnsi="Calibri"/>
          <w:color w:val="525866"/>
          <w:sz w:val="22"/>
        </w:rPr>
        <w:t xml:space="preserve">CEO Stephen Squeri stated “When we look at quarter-to-date in the second quarter, we’re slightly ahead of where we were in the first quarter.” April airline spending grew 9% YoY, following record travel bookings in Q1. </w:t>
      </w:r>
      <w:r>
        <w:rPr>
          <w:rFonts w:ascii="Calibri" w:hAnsi="Calibri"/>
          <w:b/>
          <w:color w:val="525866"/>
          <w:sz w:val="22"/>
        </w:rPr>
        <w:t>COF read-through:</w:t>
      </w:r>
      <w:r>
        <w:rPr>
          <w:rFonts w:ascii="Calibri" w:hAnsi="Calibri"/>
          <w:color w:val="525866"/>
          <w:sz w:val="22"/>
        </w:rPr>
        <w:t xml:space="preserve"> Positive for domestic card purchase volume and travel-related interchange.</w:t>
      </w:r>
    </w:p>
    <w:p>
      <w:pPr>
        <w:pStyle w:val="ListBullet"/>
        <w:ind w:left="360" w:hanging="360"/>
      </w:pPr>
      <w:r>
        <w:rPr>
          <w:rFonts w:ascii="Calibri" w:hAnsi="Calibri"/>
          <w:b/>
          <w:color w:val="525866"/>
          <w:sz w:val="22"/>
        </w:rPr>
        <w:t xml:space="preserve">Credit metrics stable and benign: </w:t>
      </w:r>
      <w:r>
        <w:rPr>
          <w:rFonts w:ascii="Calibri" w:hAnsi="Calibri"/>
          <w:color w:val="525866"/>
          <w:sz w:val="22"/>
        </w:rPr>
        <w:t xml:space="preserve">Delinquency rate has been 1.2–1.3% for 9 of the last 10 quarters; write-off rate at 2.0–2.1%. Squeri noted “Same thing from a write-off perspective.” </w:t>
      </w:r>
      <w:r>
        <w:rPr>
          <w:rFonts w:ascii="Calibri" w:hAnsi="Calibri"/>
          <w:b/>
          <w:color w:val="525866"/>
          <w:sz w:val="22"/>
        </w:rPr>
        <w:t>COF read-through:</w:t>
      </w:r>
      <w:r>
        <w:rPr>
          <w:rFonts w:ascii="Calibri" w:hAnsi="Calibri"/>
          <w:color w:val="525866"/>
          <w:sz w:val="22"/>
        </w:rPr>
        <w:t xml:space="preserve"> Positive — while AXP serves a premium segment, the absence of any credit deterioration signals a healthy macro environment. COF’s broader demographic will show higher absolute rates but the directional signal is favorable.</w:t>
      </w:r>
    </w:p>
    <w:p>
      <w:pPr>
        <w:pStyle w:val="ListBullet"/>
        <w:ind w:left="360" w:hanging="360"/>
      </w:pPr>
      <w:r>
        <w:rPr>
          <w:rFonts w:ascii="Calibri" w:hAnsi="Calibri"/>
          <w:b/>
          <w:color w:val="525866"/>
          <w:sz w:val="22"/>
        </w:rPr>
        <w:t xml:space="preserve">Consumer described as “healthy and resilient”: </w:t>
      </w:r>
      <w:r>
        <w:rPr>
          <w:rFonts w:ascii="Calibri" w:hAnsi="Calibri"/>
          <w:color w:val="525866"/>
          <w:sz w:val="22"/>
        </w:rPr>
        <w:t xml:space="preserve">Squeri: “We’re seeing a healthy consumer. We’re seeing a resilient consumer, and that’s been really consistent.” Premium card category growing faster than any other segment. </w:t>
      </w:r>
      <w:r>
        <w:rPr>
          <w:rFonts w:ascii="Calibri" w:hAnsi="Calibri"/>
          <w:b/>
          <w:color w:val="525866"/>
          <w:sz w:val="22"/>
        </w:rPr>
        <w:t>COF read-through:</w:t>
      </w:r>
      <w:r>
        <w:rPr>
          <w:rFonts w:ascii="Calibri" w:hAnsi="Calibri"/>
          <w:color w:val="525866"/>
          <w:sz w:val="22"/>
        </w:rPr>
        <w:t xml:space="preserve"> Positive for COF’s heavy-spender franchise build and premium card strategy.</w:t>
      </w:r>
    </w:p>
    <w:p>
      <w:pPr>
        <w:pStyle w:val="Heading3"/>
      </w:pPr>
      <w:r>
        <w:rPr>
          <w:rFonts w:ascii="Calibri" w:hAnsi="Calibri"/>
          <w:b/>
          <w:color w:val="3B4259"/>
          <w:sz w:val="24"/>
        </w:rPr>
        <w:t>American Express (AXP) — Morgan Stanley U.S. Financials Conference, June 9, 2026</w:t>
      </w:r>
    </w:p>
    <w:p>
      <w:r>
        <w:rPr>
          <w:rFonts w:ascii="Calibri" w:hAnsi="Calibri"/>
          <w:b/>
          <w:color w:val="525866"/>
          <w:sz w:val="22"/>
        </w:rPr>
        <w:t xml:space="preserve">Read-Through: </w:t>
      </w:r>
      <w:r>
        <w:rPr>
          <w:rFonts w:ascii="Calibri" w:hAnsi="Calibri"/>
          <w:b/>
          <w:color w:val="30A46C"/>
          <w:sz w:val="22"/>
        </w:rPr>
        <w:t>Positive</w:t>
      </w:r>
      <w:r>
        <w:rPr>
          <w:rFonts w:ascii="Calibri" w:hAnsi="Calibri"/>
          <w:color w:val="525866"/>
          <w:sz w:val="22"/>
        </w:rPr>
        <w:t xml:space="preserve"> on spending and credit; </w:t>
      </w:r>
      <w:r>
        <w:rPr>
          <w:rFonts w:ascii="Calibri" w:hAnsi="Calibri"/>
          <w:b/>
          <w:color w:val="525866"/>
          <w:sz w:val="22"/>
        </w:rPr>
        <w:t>Mixed</w:t>
      </w:r>
      <w:r>
        <w:rPr>
          <w:rFonts w:ascii="Calibri" w:hAnsi="Calibri"/>
          <w:color w:val="525866"/>
          <w:sz w:val="22"/>
        </w:rPr>
        <w:t xml:space="preserve"> on macro tail risks.</w:t>
      </w:r>
    </w:p>
    <w:p>
      <w:pPr>
        <w:pStyle w:val="ListBullet"/>
        <w:ind w:left="360" w:hanging="360"/>
      </w:pPr>
      <w:r>
        <w:rPr>
          <w:rFonts w:ascii="Calibri" w:hAnsi="Calibri"/>
          <w:b/>
          <w:color w:val="525866"/>
          <w:sz w:val="22"/>
        </w:rPr>
        <w:t xml:space="preserve">Q2 billing growth stronger than Q1: </w:t>
      </w:r>
      <w:r>
        <w:rPr>
          <w:rFonts w:ascii="Calibri" w:hAnsi="Calibri"/>
          <w:color w:val="525866"/>
          <w:sz w:val="22"/>
        </w:rPr>
        <w:t xml:space="preserve">CFO Christophe Le Caillec stated “quarter-to-date, the numbers in terms of billing growth were slightly stronger than Q1” — and Q1 was “the strongest quarter we had in 3 years” at 9% FX-adjusted. Airline, T&amp;E, and retail all performing well. NII growth “in double digit.” </w:t>
      </w:r>
      <w:r>
        <w:rPr>
          <w:rFonts w:ascii="Calibri" w:hAnsi="Calibri"/>
          <w:b/>
          <w:color w:val="525866"/>
          <w:sz w:val="22"/>
        </w:rPr>
        <w:t>COF read-through:</w:t>
      </w:r>
      <w:r>
        <w:rPr>
          <w:rFonts w:ascii="Calibri" w:hAnsi="Calibri"/>
          <w:color w:val="525866"/>
          <w:sz w:val="22"/>
        </w:rPr>
        <w:t xml:space="preserve"> Positive for Q2 purchase volume and NIM.</w:t>
      </w:r>
    </w:p>
    <w:p>
      <w:pPr>
        <w:pStyle w:val="ListBullet"/>
        <w:ind w:left="360" w:hanging="360"/>
      </w:pPr>
      <w:r>
        <w:rPr>
          <w:rFonts w:ascii="Calibri" w:hAnsi="Calibri"/>
          <w:b/>
          <w:color w:val="525866"/>
          <w:sz w:val="22"/>
        </w:rPr>
        <w:t xml:space="preserve">No credit inflection points visible: </w:t>
      </w:r>
      <w:r>
        <w:rPr>
          <w:rFonts w:ascii="Calibri" w:hAnsi="Calibri"/>
          <w:color w:val="525866"/>
          <w:sz w:val="22"/>
        </w:rPr>
        <w:t xml:space="preserve">Le Caillec: “The credit numbers remain very strong” and “there is really no inflection point that we can see that is noticeable in the portfolio.” Consistent 1.3% delinquency rate for 10 consecutive quarters. </w:t>
      </w:r>
      <w:r>
        <w:rPr>
          <w:rFonts w:ascii="Calibri" w:hAnsi="Calibri"/>
          <w:b/>
          <w:color w:val="525866"/>
          <w:sz w:val="22"/>
        </w:rPr>
        <w:t>COF read-through:</w:t>
      </w:r>
      <w:r>
        <w:rPr>
          <w:rFonts w:ascii="Calibri" w:hAnsi="Calibri"/>
          <w:color w:val="525866"/>
          <w:sz w:val="22"/>
        </w:rPr>
        <w:t xml:space="preserve"> Positive — no systemic credit stress visible in the premium segment; directionally favorable for COF’s improving delinquency trend.</w:t>
      </w:r>
    </w:p>
    <w:p>
      <w:pPr>
        <w:pStyle w:val="ListBullet"/>
        <w:ind w:left="360" w:hanging="360"/>
      </w:pPr>
      <w:r>
        <w:rPr>
          <w:rFonts w:ascii="Calibri" w:hAnsi="Calibri"/>
          <w:b/>
          <w:color w:val="525866"/>
          <w:sz w:val="22"/>
        </w:rPr>
        <w:t xml:space="preserve">Modest inflation “slightly accretive” to AXP; second-order risks acknowledged: </w:t>
      </w:r>
      <w:r>
        <w:rPr>
          <w:rFonts w:ascii="Calibri" w:hAnsi="Calibri"/>
          <w:color w:val="525866"/>
          <w:sz w:val="22"/>
        </w:rPr>
        <w:t xml:space="preserve">Le Caillec noted current modest inflation is accretive to revenues but flagged “the danger is the second order impact of inflation onto the economy” (unemployment, credit events). </w:t>
      </w:r>
      <w:r>
        <w:rPr>
          <w:rFonts w:ascii="Calibri" w:hAnsi="Calibri"/>
          <w:b/>
          <w:color w:val="525866"/>
          <w:sz w:val="22"/>
        </w:rPr>
        <w:t>COF read-through:</w:t>
      </w:r>
      <w:r>
        <w:rPr>
          <w:rFonts w:ascii="Calibri" w:hAnsi="Calibri"/>
          <w:color w:val="525866"/>
          <w:sz w:val="22"/>
        </w:rPr>
        <w:t xml:space="preserve"> Mixed — current environment is benign but macro tail risks remain relevant for COF’s broader consumer base.</w:t>
      </w:r>
    </w:p>
    <w:p>
      <w:pPr>
        <w:pStyle w:val="Heading3"/>
      </w:pPr>
      <w:r>
        <w:rPr>
          <w:rFonts w:ascii="Calibri" w:hAnsi="Calibri"/>
          <w:b/>
          <w:color w:val="3B4259"/>
          <w:sz w:val="24"/>
        </w:rPr>
        <w:t>JPMorgan Chase (JPM) — Q2 2026 Earnings Call, July 14, 2026</w:t>
      </w:r>
    </w:p>
    <w:p>
      <w:r>
        <w:rPr>
          <w:rFonts w:ascii="Calibri" w:hAnsi="Calibri"/>
          <w:b/>
          <w:color w:val="525866"/>
          <w:sz w:val="22"/>
        </w:rPr>
        <w:t xml:space="preserve">Read-Through: </w:t>
      </w:r>
      <w:r>
        <w:rPr>
          <w:rFonts w:ascii="Calibri" w:hAnsi="Calibri"/>
          <w:b/>
          <w:color w:val="30A46C"/>
          <w:sz w:val="22"/>
        </w:rPr>
        <w:t>Positive</w:t>
      </w:r>
      <w:r>
        <w:rPr>
          <w:rFonts w:ascii="Calibri" w:hAnsi="Calibri"/>
          <w:color w:val="525866"/>
          <w:sz w:val="22"/>
        </w:rPr>
        <w:t xml:space="preserve"> on consumer credit and spending; </w:t>
      </w:r>
      <w:r>
        <w:rPr>
          <w:rFonts w:ascii="Calibri" w:hAnsi="Calibri"/>
          <w:b/>
          <w:color w:val="525866"/>
          <w:sz w:val="22"/>
        </w:rPr>
        <w:t>Mixed</w:t>
      </w:r>
      <w:r>
        <w:rPr>
          <w:rFonts w:ascii="Calibri" w:hAnsi="Calibri"/>
          <w:color w:val="525866"/>
          <w:sz w:val="22"/>
        </w:rPr>
        <w:t xml:space="preserve"> on macro durability.</w:t>
      </w:r>
    </w:p>
    <w:p>
      <w:pPr>
        <w:pStyle w:val="ListBullet"/>
        <w:ind w:left="360" w:hanging="360"/>
      </w:pPr>
      <w:r>
        <w:rPr>
          <w:rFonts w:ascii="Calibri" w:hAnsi="Calibri"/>
          <w:b/>
          <w:color w:val="525866"/>
          <w:sz w:val="22"/>
        </w:rPr>
        <w:t xml:space="preserve">Consumer spending robust across income segments: </w:t>
      </w:r>
      <w:r>
        <w:rPr>
          <w:rFonts w:ascii="Calibri" w:hAnsi="Calibri"/>
          <w:color w:val="525866"/>
          <w:sz w:val="22"/>
        </w:rPr>
        <w:t xml:space="preserve">CFO Jeremy Barnum: “Consumers and small businesses continue to show resilience despite elevated gas prices and inflation, with higher tax refunds and a solid labor market contributing to strong spend growth.” Spend described as “robust and across income segments.” </w:t>
      </w:r>
      <w:r>
        <w:rPr>
          <w:rFonts w:ascii="Calibri" w:hAnsi="Calibri"/>
          <w:b/>
          <w:color w:val="525866"/>
          <w:sz w:val="22"/>
        </w:rPr>
        <w:t>COF read-through:</w:t>
      </w:r>
      <w:r>
        <w:rPr>
          <w:rFonts w:ascii="Calibri" w:hAnsi="Calibri"/>
          <w:color w:val="525866"/>
          <w:sz w:val="22"/>
        </w:rPr>
        <w:t xml:space="preserve"> Positive — broad-based spending strength across income cohorts is directly relevant to COF’s diverse card portfolio.</w:t>
      </w:r>
    </w:p>
    <w:p>
      <w:pPr>
        <w:pStyle w:val="ListBullet"/>
        <w:ind w:left="360" w:hanging="360"/>
      </w:pPr>
      <w:r>
        <w:rPr>
          <w:rFonts w:ascii="Calibri" w:hAnsi="Calibri"/>
          <w:b/>
          <w:color w:val="525866"/>
          <w:sz w:val="22"/>
        </w:rPr>
        <w:t xml:space="preserve">Consumer credit better than expected; full-year NCO rate lowered: </w:t>
      </w:r>
      <w:r>
        <w:rPr>
          <w:rFonts w:ascii="Calibri" w:hAnsi="Calibri"/>
          <w:color w:val="525866"/>
          <w:sz w:val="22"/>
        </w:rPr>
        <w:t xml:space="preserve">JPM now expects its card NCO rate of ~3.2% for full-year 2026, “reflecting better than expected consumer credit performance.” Delinquencies “a little lower than we expected.” Net reserve build of only $149M. </w:t>
      </w:r>
      <w:r>
        <w:rPr>
          <w:rFonts w:ascii="Calibri" w:hAnsi="Calibri"/>
          <w:b/>
          <w:color w:val="525866"/>
          <w:sz w:val="22"/>
        </w:rPr>
        <w:t>COF read-through:</w:t>
      </w:r>
      <w:r>
        <w:rPr>
          <w:rFonts w:ascii="Calibri" w:hAnsi="Calibri"/>
          <w:color w:val="525866"/>
          <w:sz w:val="22"/>
        </w:rPr>
        <w:t xml:space="preserve"> Positive — JPM lowering its credit outlook is the strongest institutional signal that Q2 credit conditions were better than feared.</w:t>
      </w:r>
    </w:p>
    <w:p>
      <w:pPr>
        <w:pStyle w:val="ListBullet"/>
        <w:ind w:left="360" w:hanging="360"/>
      </w:pPr>
      <w:r>
        <w:rPr>
          <w:rFonts w:ascii="Calibri" w:hAnsi="Calibri"/>
          <w:b/>
          <w:color w:val="525866"/>
          <w:sz w:val="22"/>
        </w:rPr>
        <w:t xml:space="preserve">Tax refund tailwind confirmed: </w:t>
      </w:r>
      <w:r>
        <w:rPr>
          <w:rFonts w:ascii="Calibri" w:hAnsi="Calibri"/>
          <w:color w:val="525866"/>
          <w:sz w:val="22"/>
        </w:rPr>
        <w:t xml:space="preserve">Barnum noted “seems like a bit of a tailwind there from tax refunds” — consistent with COF management’s Q1 commentary that higher 2026 tax refunds (from retroactive tax cuts) would benefit consumer credit. </w:t>
      </w:r>
      <w:r>
        <w:rPr>
          <w:rFonts w:ascii="Calibri" w:hAnsi="Calibri"/>
          <w:b/>
          <w:color w:val="525866"/>
          <w:sz w:val="22"/>
        </w:rPr>
        <w:t>COF read-through:</w:t>
      </w:r>
      <w:r>
        <w:rPr>
          <w:rFonts w:ascii="Calibri" w:hAnsi="Calibri"/>
          <w:color w:val="525866"/>
          <w:sz w:val="22"/>
        </w:rPr>
        <w:t xml:space="preserve"> Positive — validates COF’s Q1 thesis on tax refund benefit.</w:t>
      </w:r>
    </w:p>
    <w:p>
      <w:pPr>
        <w:pStyle w:val="ListBullet"/>
        <w:ind w:left="360" w:hanging="360"/>
      </w:pPr>
      <w:r>
        <w:rPr>
          <w:rFonts w:ascii="Calibri" w:hAnsi="Calibri"/>
          <w:b/>
          <w:color w:val="525866"/>
          <w:sz w:val="22"/>
        </w:rPr>
        <w:t xml:space="preserve">Dimon caution: “Getting close to as good as it gets”: </w:t>
      </w:r>
      <w:r>
        <w:rPr>
          <w:rFonts w:ascii="Calibri" w:hAnsi="Calibri"/>
          <w:color w:val="525866"/>
          <w:sz w:val="22"/>
        </w:rPr>
        <w:t xml:space="preserve">CEO Jamie Dimon: “It’s getting close to as good as it gets. We just don’t know how long it’s going to last.” Also flagged mild deterioration in industry credit underwriting standards and inevitability of a future credit cycle. </w:t>
      </w:r>
      <w:r>
        <w:rPr>
          <w:rFonts w:ascii="Calibri" w:hAnsi="Calibri"/>
          <w:b/>
          <w:color w:val="525866"/>
          <w:sz w:val="22"/>
        </w:rPr>
        <w:t>COF read-through:</w:t>
      </w:r>
      <w:r>
        <w:rPr>
          <w:rFonts w:ascii="Calibri" w:hAnsi="Calibri"/>
          <w:color w:val="525866"/>
          <w:sz w:val="22"/>
        </w:rPr>
        <w:t xml:space="preserve"> Mixed — current conditions are favorable but Dimon’s caution is a reminder that the cycle will turn; COF’s reserve adequacy will be scrutinized.</w:t>
      </w:r>
    </w:p>
    <w:p>
      <w:pPr>
        <w:pStyle w:val="Heading3"/>
      </w:pPr>
      <w:r>
        <w:rPr>
          <w:rFonts w:ascii="Calibri" w:hAnsi="Calibri"/>
          <w:b/>
          <w:color w:val="3B4259"/>
          <w:sz w:val="24"/>
        </w:rPr>
        <w:t>Bank of America (BAC) — Q2 2026 Earnings Call, July 14, 2026</w:t>
      </w:r>
    </w:p>
    <w:p>
      <w:r>
        <w:rPr>
          <w:rFonts w:ascii="Calibri" w:hAnsi="Calibri"/>
          <w:b/>
          <w:color w:val="525866"/>
          <w:sz w:val="22"/>
        </w:rPr>
        <w:t xml:space="preserve">Read-Through: </w:t>
      </w:r>
      <w:r>
        <w:rPr>
          <w:rFonts w:ascii="Calibri" w:hAnsi="Calibri"/>
          <w:b/>
          <w:color w:val="30A46C"/>
          <w:sz w:val="22"/>
        </w:rPr>
        <w:t>Positive</w:t>
      </w:r>
      <w:r>
        <w:rPr>
          <w:rFonts w:ascii="Calibri" w:hAnsi="Calibri"/>
          <w:color w:val="525866"/>
          <w:sz w:val="22"/>
        </w:rPr>
        <w:t xml:space="preserve"> on consumer credit, spending, and deposits.</w:t>
      </w:r>
    </w:p>
    <w:p>
      <w:pPr>
        <w:pStyle w:val="ListBullet"/>
        <w:ind w:left="360" w:hanging="360"/>
      </w:pPr>
      <w:r>
        <w:rPr>
          <w:rFonts w:ascii="Calibri" w:hAnsi="Calibri"/>
          <w:b/>
          <w:color w:val="525866"/>
          <w:sz w:val="22"/>
        </w:rPr>
        <w:t xml:space="preserve">Consumer spending accelerating into Q2: </w:t>
      </w:r>
      <w:r>
        <w:rPr>
          <w:rFonts w:ascii="Calibri" w:hAnsi="Calibri"/>
          <w:color w:val="525866"/>
          <w:sz w:val="22"/>
        </w:rPr>
        <w:t xml:space="preserve">CEO Brian Moynihan: “Consumer spending has recently expanded and continued to outperform our expectations.” Spending running at “6% plus year over year” in Q2, up from 5% in H1. Encouraged spending up 9% YoY. </w:t>
      </w:r>
      <w:r>
        <w:rPr>
          <w:rFonts w:ascii="Calibri" w:hAnsi="Calibri"/>
          <w:b/>
          <w:color w:val="525866"/>
          <w:sz w:val="22"/>
        </w:rPr>
        <w:t>COF read-through:</w:t>
      </w:r>
      <w:r>
        <w:rPr>
          <w:rFonts w:ascii="Calibri" w:hAnsi="Calibri"/>
          <w:color w:val="525866"/>
          <w:sz w:val="22"/>
        </w:rPr>
        <w:t xml:space="preserve"> Positive — spending acceleration in Q2 is directly favorable for COF’s purchase volume and interchange revenue.</w:t>
      </w:r>
    </w:p>
    <w:p>
      <w:pPr>
        <w:pStyle w:val="ListBullet"/>
        <w:ind w:left="360" w:hanging="360"/>
      </w:pPr>
      <w:r>
        <w:rPr>
          <w:rFonts w:ascii="Calibri" w:hAnsi="Calibri"/>
          <w:b/>
          <w:color w:val="525866"/>
          <w:sz w:val="22"/>
        </w:rPr>
        <w:t xml:space="preserve">Consumer charge-offs and delinquencies improved YoY and QoQ: </w:t>
      </w:r>
      <w:r>
        <w:rPr>
          <w:rFonts w:ascii="Calibri" w:hAnsi="Calibri"/>
          <w:color w:val="525866"/>
          <w:sz w:val="22"/>
        </w:rPr>
        <w:t xml:space="preserve">CFO Alastair Borthwick: “Consumer charge card charge offs and delinquencies improved both year over year and quarter over quarter.” Provision expense and NCOs both ~$1.4B, “largely unchanged from Q1.” BAC recorded a “modest reserve release.” </w:t>
      </w:r>
      <w:r>
        <w:rPr>
          <w:rFonts w:ascii="Calibri" w:hAnsi="Calibri"/>
          <w:b/>
          <w:color w:val="525866"/>
          <w:sz w:val="22"/>
        </w:rPr>
        <w:t>COF read-through:</w:t>
      </w:r>
      <w:r>
        <w:rPr>
          <w:rFonts w:ascii="Calibri" w:hAnsi="Calibri"/>
          <w:color w:val="525866"/>
          <w:sz w:val="22"/>
        </w:rPr>
        <w:t xml:space="preserve"> Positive — YoY and QoQ improvement in consumer credit at BAC is the clearest peer signal for COF’s domestic card portfolio.</w:t>
      </w:r>
    </w:p>
    <w:p>
      <w:pPr>
        <w:pStyle w:val="ListBullet"/>
        <w:ind w:left="360" w:hanging="360"/>
      </w:pPr>
      <w:r>
        <w:rPr>
          <w:rFonts w:ascii="Calibri" w:hAnsi="Calibri"/>
          <w:b/>
          <w:color w:val="525866"/>
          <w:sz w:val="22"/>
        </w:rPr>
        <w:t xml:space="preserve">Economic backdrop “very constructive”; GDP forecast raised: </w:t>
      </w:r>
      <w:r>
        <w:rPr>
          <w:rFonts w:ascii="Calibri" w:hAnsi="Calibri"/>
          <w:color w:val="525866"/>
          <w:sz w:val="22"/>
        </w:rPr>
        <w:t xml:space="preserve">BAC research raised 2026 US GDP forecast to 2.2%. Moynihan: “The U.S. economy has proved more durable than expected, supported by the strong consumer, ongoing AI-driven investments, and easing energy costs.” </w:t>
      </w:r>
      <w:r>
        <w:rPr>
          <w:rFonts w:ascii="Calibri" w:hAnsi="Calibri"/>
          <w:b/>
          <w:color w:val="525866"/>
          <w:sz w:val="22"/>
        </w:rPr>
        <w:t>COF read-through:</w:t>
      </w:r>
      <w:r>
        <w:rPr>
          <w:rFonts w:ascii="Calibri" w:hAnsi="Calibri"/>
          <w:color w:val="525866"/>
          <w:sz w:val="22"/>
        </w:rPr>
        <w:t xml:space="preserve"> Positive for macro backdrop underpinning COF’s credit and spending outlook.</w:t>
      </w:r>
    </w:p>
    <w:p>
      <w:pPr>
        <w:pStyle w:val="ListBullet"/>
        <w:ind w:left="360" w:hanging="360"/>
      </w:pPr>
      <w:r>
        <w:rPr>
          <w:rFonts w:ascii="Calibri" w:hAnsi="Calibri"/>
          <w:b/>
          <w:color w:val="525866"/>
          <w:sz w:val="22"/>
        </w:rPr>
        <w:t xml:space="preserve">Deposit growth stable; rate paid modestly lower: </w:t>
      </w:r>
      <w:r>
        <w:rPr>
          <w:rFonts w:ascii="Calibri" w:hAnsi="Calibri"/>
          <w:color w:val="525866"/>
          <w:sz w:val="22"/>
        </w:rPr>
        <w:t xml:space="preserve">12th consecutive quarter of average deposit growth; consumer deposit rate paid at 48 bps on $957B. “Strong liquidity and funding position means we don’t need to chase rate-sensitive balances.” </w:t>
      </w:r>
      <w:r>
        <w:rPr>
          <w:rFonts w:ascii="Calibri" w:hAnsi="Calibri"/>
          <w:b/>
          <w:color w:val="525866"/>
          <w:sz w:val="22"/>
        </w:rPr>
        <w:t>COF read-through:</w:t>
      </w:r>
      <w:r>
        <w:rPr>
          <w:rFonts w:ascii="Calibri" w:hAnsi="Calibri"/>
          <w:color w:val="525866"/>
          <w:sz w:val="22"/>
        </w:rPr>
        <w:t xml:space="preserve"> Positive for COF’s deposit funding costs and NIM stability.</w:t>
      </w:r>
    </w:p>
    <w:p>
      <w:pPr>
        <w:pStyle w:val="Heading3"/>
      </w:pPr>
      <w:r>
        <w:rPr>
          <w:rFonts w:ascii="Calibri" w:hAnsi="Calibri"/>
          <w:b/>
          <w:color w:val="3B4259"/>
          <w:sz w:val="24"/>
        </w:rPr>
        <w:t>Citigroup (C) — Q2 2026 Earnings Call, July 14, 2026</w:t>
      </w:r>
    </w:p>
    <w:p>
      <w:r>
        <w:rPr>
          <w:rFonts w:ascii="Calibri" w:hAnsi="Calibri"/>
          <w:b/>
          <w:color w:val="525866"/>
          <w:sz w:val="22"/>
        </w:rPr>
        <w:t xml:space="preserve">Read-Through: </w:t>
      </w:r>
      <w:r>
        <w:rPr>
          <w:rFonts w:ascii="Calibri" w:hAnsi="Calibri"/>
          <w:b/>
          <w:color w:val="30A46C"/>
          <w:sz w:val="22"/>
        </w:rPr>
        <w:t>Positive</w:t>
      </w:r>
      <w:r>
        <w:rPr>
          <w:rFonts w:ascii="Calibri" w:hAnsi="Calibri"/>
          <w:color w:val="525866"/>
          <w:sz w:val="22"/>
        </w:rPr>
        <w:t xml:space="preserve"> on consumer credit and spending; </w:t>
      </w:r>
      <w:r>
        <w:rPr>
          <w:rFonts w:ascii="Calibri" w:hAnsi="Calibri"/>
          <w:b/>
          <w:color w:val="525866"/>
          <w:sz w:val="22"/>
        </w:rPr>
        <w:t>Mixed</w:t>
      </w:r>
      <w:r>
        <w:rPr>
          <w:rFonts w:ascii="Calibri" w:hAnsi="Calibri"/>
          <w:color w:val="525866"/>
          <w:sz w:val="22"/>
        </w:rPr>
        <w:t xml:space="preserve"> on macro (inflation second-order risks).</w:t>
      </w:r>
    </w:p>
    <w:p>
      <w:pPr>
        <w:pStyle w:val="ListBullet"/>
        <w:ind w:left="360" w:hanging="360"/>
      </w:pPr>
      <w:r>
        <w:rPr>
          <w:rFonts w:ascii="Calibri" w:hAnsi="Calibri"/>
          <w:b/>
          <w:color w:val="525866"/>
          <w:sz w:val="22"/>
        </w:rPr>
        <w:t xml:space="preserve">US card spend volume up 12% in Q2; underlying growth 6–7%: </w:t>
      </w:r>
      <w:r>
        <w:rPr>
          <w:rFonts w:ascii="Calibri" w:hAnsi="Calibri"/>
          <w:color w:val="525866"/>
          <w:sz w:val="22"/>
        </w:rPr>
        <w:t xml:space="preserve">CFO Gonzalo Luchetti: Even excluding the acquired Barclays American Airlines portfolio, underlying spend growth was “6 to 7%” — “very healthy as it relates to the spend and in line or on the higher end versus the last few quarters.” </w:t>
      </w:r>
      <w:r>
        <w:rPr>
          <w:rFonts w:ascii="Calibri" w:hAnsi="Calibri"/>
          <w:b/>
          <w:color w:val="525866"/>
          <w:sz w:val="22"/>
        </w:rPr>
        <w:t>COF read-through:</w:t>
      </w:r>
      <w:r>
        <w:rPr>
          <w:rFonts w:ascii="Calibri" w:hAnsi="Calibri"/>
          <w:color w:val="525866"/>
          <w:sz w:val="22"/>
        </w:rPr>
        <w:t xml:space="preserve"> Positive for COF’s domestic card purchase volume.</w:t>
      </w:r>
    </w:p>
    <w:p>
      <w:pPr>
        <w:pStyle w:val="ListBullet"/>
        <w:ind w:left="360" w:hanging="360"/>
      </w:pPr>
      <w:r>
        <w:rPr>
          <w:rFonts w:ascii="Calibri" w:hAnsi="Calibri"/>
          <w:b/>
          <w:color w:val="525866"/>
          <w:sz w:val="22"/>
        </w:rPr>
        <w:t xml:space="preserve">Credit better than expected; delinquencies down YoY: </w:t>
      </w:r>
      <w:r>
        <w:rPr>
          <w:rFonts w:ascii="Calibri" w:hAnsi="Calibri"/>
          <w:color w:val="525866"/>
          <w:sz w:val="22"/>
        </w:rPr>
        <w:t xml:space="preserve">CEO Jane Fraser: “Better credit performance than expected.” Luchetti: “Both delinquency and credit losses are down year on year.” Full-year US card NCO rate guidance of 4.0–4.5% — “a lower range than the one we’ve had in the past.” ACL release of $132M in US consumer cards. </w:t>
      </w:r>
      <w:r>
        <w:rPr>
          <w:rFonts w:ascii="Calibri" w:hAnsi="Calibri"/>
          <w:b/>
          <w:color w:val="525866"/>
          <w:sz w:val="22"/>
        </w:rPr>
        <w:t>COF read-through:</w:t>
      </w:r>
      <w:r>
        <w:rPr>
          <w:rFonts w:ascii="Calibri" w:hAnsi="Calibri"/>
          <w:color w:val="525866"/>
          <w:sz w:val="22"/>
        </w:rPr>
        <w:t xml:space="preserve"> Positive — Citi’s lowered NCO guidance and ACL release are the most direct credit read-through for COF’s domestic card portfolio.</w:t>
      </w:r>
    </w:p>
    <w:p>
      <w:pPr>
        <w:pStyle w:val="ListBullet"/>
        <w:ind w:left="360" w:hanging="360"/>
      </w:pPr>
      <w:r>
        <w:rPr>
          <w:rFonts w:ascii="Calibri" w:hAnsi="Calibri"/>
          <w:b/>
          <w:color w:val="525866"/>
          <w:sz w:val="22"/>
        </w:rPr>
        <w:t xml:space="preserve">Macro “constructive” but inflation second-order risks flagged: </w:t>
      </w:r>
      <w:r>
        <w:rPr>
          <w:rFonts w:ascii="Calibri" w:hAnsi="Calibri"/>
          <w:color w:val="525866"/>
          <w:sz w:val="22"/>
        </w:rPr>
        <w:t xml:space="preserve">Fraser: Middle East conflict “giving inflation a second wind in the US” but “growth is roughly where it was a year ago and the labour market remains stable.” Luchetti: “So far it’s a constructive environment.” </w:t>
      </w:r>
      <w:r>
        <w:rPr>
          <w:rFonts w:ascii="Calibri" w:hAnsi="Calibri"/>
          <w:b/>
          <w:color w:val="525866"/>
          <w:sz w:val="22"/>
        </w:rPr>
        <w:t>COF read-through:</w:t>
      </w:r>
      <w:r>
        <w:rPr>
          <w:rFonts w:ascii="Calibri" w:hAnsi="Calibri"/>
          <w:color w:val="525866"/>
          <w:sz w:val="22"/>
        </w:rPr>
        <w:t xml:space="preserve"> Mixed — current conditions are favorable but inflation persistence is the key watch item for COF’s broader consumer base.</w:t>
      </w:r>
    </w:p>
    <w:p>
      <w:pPr>
        <w:pStyle w:val="Heading3"/>
      </w:pPr>
      <w:r>
        <w:rPr>
          <w:rFonts w:ascii="Calibri" w:hAnsi="Calibri"/>
          <w:b/>
          <w:color w:val="3B4259"/>
          <w:sz w:val="24"/>
        </w:rPr>
        <w:t>Other Regional Bank Peers — Q2 2026 Earnings (July 15–17, 2026)</w:t>
      </w:r>
    </w:p>
    <w:p>
      <w:r>
        <w:rPr>
          <w:rFonts w:ascii="Calibri" w:hAnsi="Calibri"/>
          <w:b/>
          <w:color w:val="525866"/>
          <w:sz w:val="22"/>
        </w:rPr>
        <w:t xml:space="preserve">Read-Through: </w:t>
      </w:r>
      <w:r>
        <w:rPr>
          <w:rFonts w:ascii="Calibri" w:hAnsi="Calibri"/>
          <w:b/>
          <w:color w:val="30A46C"/>
          <w:sz w:val="22"/>
        </w:rPr>
        <w:t>Positive</w:t>
      </w:r>
      <w:r>
        <w:rPr>
          <w:rFonts w:ascii="Calibri" w:hAnsi="Calibri"/>
          <w:color w:val="525866"/>
          <w:sz w:val="22"/>
        </w:rPr>
        <w:t xml:space="preserve"> on credit quality and NII; </w:t>
      </w:r>
      <w:r>
        <w:rPr>
          <w:rFonts w:ascii="Calibri" w:hAnsi="Calibri"/>
          <w:b/>
          <w:color w:val="30A46C"/>
          <w:sz w:val="22"/>
        </w:rPr>
        <w:t>Positive</w:t>
      </w:r>
      <w:r>
        <w:rPr>
          <w:rFonts w:ascii="Calibri" w:hAnsi="Calibri"/>
          <w:color w:val="525866"/>
          <w:sz w:val="22"/>
        </w:rPr>
        <w:t xml:space="preserve"> on guidance revisions.</w:t>
      </w:r>
    </w:p>
    <w:p>
      <w:pPr>
        <w:pStyle w:val="ListBullet"/>
        <w:ind w:left="360" w:hanging="360"/>
      </w:pPr>
      <w:r>
        <w:rPr>
          <w:rFonts w:ascii="Calibri" w:hAnsi="Calibri"/>
          <w:b/>
          <w:color w:val="525866"/>
          <w:sz w:val="22"/>
        </w:rPr>
        <w:t>Fifth Third (FITB) — Jul 17:</w:t>
      </w:r>
      <w:r>
        <w:rPr>
          <w:rFonts w:ascii="Calibri" w:hAnsi="Calibri"/>
          <w:color w:val="525866"/>
          <w:sz w:val="22"/>
        </w:rPr>
        <w:t xml:space="preserve"> Net interest income rose 48% YoY; capital markets fees surged 71%; adjusted tangible net income up 62% YoY. Expects annual NII of $8.74–8.80B. </w:t>
      </w:r>
      <w:r>
        <w:rPr>
          <w:rFonts w:ascii="Calibri" w:hAnsi="Calibri"/>
          <w:b/>
          <w:color w:val="525866"/>
          <w:sz w:val="22"/>
        </w:rPr>
        <w:t>COF read-through:</w:t>
      </w:r>
      <w:r>
        <w:rPr>
          <w:rFonts w:ascii="Calibri" w:hAnsi="Calibri"/>
          <w:color w:val="525866"/>
          <w:sz w:val="22"/>
        </w:rPr>
        <w:t xml:space="preserve"> Positive for NII and fee income environment.</w:t>
      </w:r>
    </w:p>
    <w:p>
      <w:pPr>
        <w:pStyle w:val="ListBullet"/>
        <w:ind w:left="360" w:hanging="360"/>
      </w:pPr>
      <w:r>
        <w:rPr>
          <w:rFonts w:ascii="Calibri" w:hAnsi="Calibri"/>
          <w:b/>
          <w:color w:val="525866"/>
          <w:sz w:val="22"/>
        </w:rPr>
        <w:t>Truist (TFC) — Jul 17:</w:t>
      </w:r>
      <w:r>
        <w:rPr>
          <w:rFonts w:ascii="Calibri" w:hAnsi="Calibri"/>
          <w:color w:val="525866"/>
          <w:sz w:val="22"/>
        </w:rPr>
        <w:t xml:space="preserve"> EPS of $1.23 beat consensus of $1.07; credit provisions ~$75M below Street; efficiency ratio ~80 bps better than expected. However, lowered full-year revenue guidance to +3.5–4% (from +4%) on softer NII outlook. </w:t>
      </w:r>
      <w:r>
        <w:rPr>
          <w:rFonts w:ascii="Calibri" w:hAnsi="Calibri"/>
          <w:b/>
          <w:color w:val="525866"/>
          <w:sz w:val="22"/>
        </w:rPr>
        <w:t>COF read-through:</w:t>
      </w:r>
      <w:r>
        <w:rPr>
          <w:rFonts w:ascii="Calibri" w:hAnsi="Calibri"/>
          <w:color w:val="525866"/>
          <w:sz w:val="22"/>
        </w:rPr>
        <w:t xml:space="preserve"> Mixed — credit beat is positive; NII guidance cut is a reminder of rate sensitivity risk.</w:t>
      </w:r>
    </w:p>
    <w:p>
      <w:pPr>
        <w:pStyle w:val="ListBullet"/>
        <w:ind w:left="360" w:hanging="360"/>
      </w:pPr>
      <w:r>
        <w:rPr>
          <w:rFonts w:ascii="Calibri" w:hAnsi="Calibri"/>
          <w:b/>
          <w:color w:val="525866"/>
          <w:sz w:val="22"/>
        </w:rPr>
        <w:t>US Bancorp (USB) — Jul 16:</w:t>
      </w:r>
      <w:r>
        <w:rPr>
          <w:rFonts w:ascii="Calibri" w:hAnsi="Calibri"/>
          <w:color w:val="525866"/>
          <w:sz w:val="22"/>
        </w:rPr>
        <w:t xml:space="preserve"> EPS of $1.35 beat consensus of $1.28; efficiency ratio improved 200+ bps YoY; provisions ~$60M below forecast; raised full-year guidance. </w:t>
      </w:r>
      <w:r>
        <w:rPr>
          <w:rFonts w:ascii="Calibri" w:hAnsi="Calibri"/>
          <w:b/>
          <w:color w:val="525866"/>
          <w:sz w:val="22"/>
        </w:rPr>
        <w:t>COF read-through:</w:t>
      </w:r>
      <w:r>
        <w:rPr>
          <w:rFonts w:ascii="Calibri" w:hAnsi="Calibri"/>
          <w:color w:val="525866"/>
          <w:sz w:val="22"/>
        </w:rPr>
        <w:t xml:space="preserve"> Positive — broad-based beat with credit and efficiency upside.</w:t>
      </w:r>
    </w:p>
    <w:p>
      <w:pPr>
        <w:pStyle w:val="ListBullet"/>
        <w:ind w:left="360" w:hanging="360"/>
      </w:pPr>
      <w:r>
        <w:rPr>
          <w:rFonts w:ascii="Calibri" w:hAnsi="Calibri"/>
          <w:b/>
          <w:color w:val="525866"/>
          <w:sz w:val="22"/>
        </w:rPr>
        <w:t>Citizens Financial (CFG) — Jul 16:</w:t>
      </w:r>
      <w:r>
        <w:rPr>
          <w:rFonts w:ascii="Calibri" w:hAnsi="Calibri"/>
          <w:color w:val="525866"/>
          <w:sz w:val="22"/>
        </w:rPr>
        <w:t xml:space="preserve"> EPS of $1.30 beat consensus of $1.25; raised NII and fee guidance; provisions in-line. </w:t>
      </w:r>
      <w:r>
        <w:rPr>
          <w:rFonts w:ascii="Calibri" w:hAnsi="Calibri"/>
          <w:b/>
          <w:color w:val="525866"/>
          <w:sz w:val="22"/>
        </w:rPr>
        <w:t>COF read-through:</w:t>
      </w:r>
      <w:r>
        <w:rPr>
          <w:rFonts w:ascii="Calibri" w:hAnsi="Calibri"/>
          <w:color w:val="525866"/>
          <w:sz w:val="22"/>
        </w:rPr>
        <w:t xml:space="preserve"> Positive for consumer credit and NII environment.</w:t>
      </w:r>
    </w:p>
    <w:p>
      <w:pPr>
        <w:pStyle w:val="ListBullet"/>
        <w:ind w:left="360" w:hanging="360"/>
      </w:pPr>
      <w:r>
        <w:rPr>
          <w:rFonts w:ascii="Calibri" w:hAnsi="Calibri"/>
          <w:b/>
          <w:color w:val="525866"/>
          <w:sz w:val="22"/>
        </w:rPr>
        <w:t>PNC Financial — Jul 15:</w:t>
      </w:r>
      <w:r>
        <w:rPr>
          <w:rFonts w:ascii="Calibri" w:hAnsi="Calibri"/>
          <w:color w:val="525866"/>
          <w:sz w:val="22"/>
        </w:rPr>
        <w:t xml:space="preserve"> Adjusted EPS of $4.85 beat consensus of $4.53; raised full-year revenue guidance to +13% (from +11%); provisions below forecast. </w:t>
      </w:r>
      <w:r>
        <w:rPr>
          <w:rFonts w:ascii="Calibri" w:hAnsi="Calibri"/>
          <w:b/>
          <w:color w:val="525866"/>
          <w:sz w:val="22"/>
        </w:rPr>
        <w:t>COF read-through:</w:t>
      </w:r>
      <w:r>
        <w:rPr>
          <w:rFonts w:ascii="Calibri" w:hAnsi="Calibri"/>
          <w:color w:val="525866"/>
          <w:sz w:val="22"/>
        </w:rPr>
        <w:t xml:space="preserve"> Positive — broad revenue and credit beat with guidance raise signals a strong banking environment.</w:t>
      </w:r>
    </w:p>
    <w:p>
      <w:pPr>
        <w:pStyle w:val="Heading3"/>
      </w:pPr>
      <w:r>
        <w:rPr>
          <w:rFonts w:ascii="Calibri" w:hAnsi="Calibri"/>
          <w:b/>
          <w:color w:val="3B4259"/>
          <w:sz w:val="24"/>
        </w:rPr>
        <w:t>Summary Read-Through 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Peer</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Consumer Spending</w:t>
            </w:r>
          </w:p>
        </w:tc>
        <w:tc>
          <w:tcPr>
            <w:tcW w:type="dxa" w:w="1440"/>
            <w:shd w:val="clear" w:color="auto" w:fill="3B4259"/>
          </w:tcPr>
          <w:p>
            <w:r>
              <w:rPr>
                <w:rFonts w:ascii="Calibri" w:hAnsi="Calibri"/>
                <w:b/>
                <w:color w:val="FFFFFF"/>
                <w:sz w:val="22"/>
              </w:rPr>
              <w:t>Credit Quality</w:t>
            </w:r>
          </w:p>
        </w:tc>
        <w:tc>
          <w:tcPr>
            <w:tcW w:type="dxa" w:w="1440"/>
            <w:shd w:val="clear" w:color="auto" w:fill="3B4259"/>
          </w:tcPr>
          <w:p>
            <w:r>
              <w:rPr>
                <w:rFonts w:ascii="Calibri" w:hAnsi="Calibri"/>
                <w:b/>
                <w:color w:val="FFFFFF"/>
                <w:sz w:val="22"/>
              </w:rPr>
              <w:t>Macro / Deposits</w:t>
            </w:r>
          </w:p>
        </w:tc>
        <w:tc>
          <w:tcPr>
            <w:tcW w:type="dxa" w:w="1440"/>
            <w:shd w:val="clear" w:color="auto" w:fill="3B4259"/>
          </w:tcPr>
          <w:p>
            <w:r>
              <w:rPr>
                <w:rFonts w:ascii="Calibri" w:hAnsi="Calibri"/>
                <w:b/>
                <w:color w:val="FFFFFF"/>
                <w:sz w:val="22"/>
              </w:rPr>
              <w:t>Overall COF Read-Through</w:t>
            </w:r>
          </w:p>
        </w:tc>
      </w:tr>
      <w:tr>
        <w:tc>
          <w:tcPr>
            <w:tcW w:type="dxa" w:w="1440"/>
          </w:tcPr>
          <w:p>
            <w:r>
              <w:rPr>
                <w:rFonts w:ascii="Calibri" w:hAnsi="Calibri"/>
                <w:sz w:val="22"/>
              </w:rPr>
              <w:t>AXP</w:t>
            </w:r>
          </w:p>
        </w:tc>
        <w:tc>
          <w:tcPr>
            <w:tcW w:type="dxa" w:w="1440"/>
          </w:tcPr>
          <w:p>
            <w:r>
              <w:rPr>
                <w:rFonts w:ascii="Calibri" w:hAnsi="Calibri"/>
                <w:sz w:val="22"/>
              </w:rPr>
              <w:t>May 28</w:t>
            </w:r>
          </w:p>
        </w:tc>
        <w:tc>
          <w:tcPr>
            <w:tcW w:type="dxa" w:w="1440"/>
          </w:tcPr>
          <w:p>
            <w:r>
              <w:rPr>
                <w:rFonts w:ascii="Calibri" w:hAnsi="Calibri"/>
                <w:b/>
                <w:color w:val="30A46C"/>
                <w:sz w:val="22"/>
              </w:rPr>
              <w:t>Positive</w:t>
            </w:r>
          </w:p>
        </w:tc>
        <w:tc>
          <w:tcPr>
            <w:tcW w:type="dxa" w:w="1440"/>
          </w:tcPr>
          <w:p>
            <w:r>
              <w:rPr>
                <w:rFonts w:ascii="Calibri" w:hAnsi="Calibri"/>
                <w:b/>
                <w:color w:val="30A46C"/>
                <w:sz w:val="22"/>
              </w:rPr>
              <w:t>Positive</w:t>
            </w:r>
          </w:p>
        </w:tc>
        <w:tc>
          <w:tcPr>
            <w:tcW w:type="dxa" w:w="1440"/>
          </w:tcPr>
          <w:p>
            <w:r>
              <w:rPr>
                <w:rFonts w:ascii="Calibri" w:hAnsi="Calibri"/>
                <w:sz w:val="22"/>
              </w:rPr>
              <w:t>Neutral</w:t>
            </w:r>
          </w:p>
        </w:tc>
        <w:tc>
          <w:tcPr>
            <w:tcW w:type="dxa" w:w="1440"/>
          </w:tcPr>
          <w:p>
            <w:r>
              <w:rPr>
                <w:rFonts w:ascii="Calibri" w:hAnsi="Calibri"/>
                <w:b/>
                <w:color w:val="30A46C"/>
                <w:sz w:val="22"/>
              </w:rPr>
              <w:t>Positive</w:t>
            </w:r>
          </w:p>
        </w:tc>
      </w:tr>
      <w:tr>
        <w:tc>
          <w:tcPr>
            <w:tcW w:type="dxa" w:w="1440"/>
          </w:tcPr>
          <w:p>
            <w:r>
              <w:rPr>
                <w:rFonts w:ascii="Calibri" w:hAnsi="Calibri"/>
                <w:sz w:val="22"/>
              </w:rPr>
              <w:t>AXP</w:t>
            </w:r>
          </w:p>
        </w:tc>
        <w:tc>
          <w:tcPr>
            <w:tcW w:type="dxa" w:w="1440"/>
          </w:tcPr>
          <w:p>
            <w:r>
              <w:rPr>
                <w:rFonts w:ascii="Calibri" w:hAnsi="Calibri"/>
                <w:sz w:val="22"/>
              </w:rPr>
              <w:t>Jun 9</w:t>
            </w:r>
          </w:p>
        </w:tc>
        <w:tc>
          <w:tcPr>
            <w:tcW w:type="dxa" w:w="1440"/>
          </w:tcPr>
          <w:p>
            <w:r>
              <w:rPr>
                <w:rFonts w:ascii="Calibri" w:hAnsi="Calibri"/>
                <w:b/>
                <w:color w:val="30A46C"/>
                <w:sz w:val="22"/>
              </w:rPr>
              <w:t>Positive</w:t>
            </w:r>
          </w:p>
        </w:tc>
        <w:tc>
          <w:tcPr>
            <w:tcW w:type="dxa" w:w="1440"/>
          </w:tcPr>
          <w:p>
            <w:r>
              <w:rPr>
                <w:rFonts w:ascii="Calibri" w:hAnsi="Calibri"/>
                <w:b/>
                <w:color w:val="30A46C"/>
                <w:sz w:val="22"/>
              </w:rPr>
              <w:t>Positive</w:t>
            </w:r>
          </w:p>
        </w:tc>
        <w:tc>
          <w:tcPr>
            <w:tcW w:type="dxa" w:w="1440"/>
          </w:tcPr>
          <w:p>
            <w:r>
              <w:rPr>
                <w:rFonts w:ascii="Calibri" w:hAnsi="Calibri"/>
                <w:sz w:val="22"/>
              </w:rPr>
              <w:t>Mixed</w:t>
            </w:r>
          </w:p>
        </w:tc>
        <w:tc>
          <w:tcPr>
            <w:tcW w:type="dxa" w:w="1440"/>
          </w:tcPr>
          <w:p>
            <w:r>
              <w:rPr>
                <w:rFonts w:ascii="Calibri" w:hAnsi="Calibri"/>
                <w:b/>
                <w:color w:val="30A46C"/>
                <w:sz w:val="22"/>
              </w:rPr>
              <w:t>Positive</w:t>
            </w:r>
          </w:p>
        </w:tc>
      </w:tr>
      <w:tr>
        <w:tc>
          <w:tcPr>
            <w:tcW w:type="dxa" w:w="1440"/>
          </w:tcPr>
          <w:p>
            <w:r>
              <w:rPr>
                <w:rFonts w:ascii="Calibri" w:hAnsi="Calibri"/>
                <w:sz w:val="22"/>
              </w:rPr>
              <w:t>JPM</w:t>
            </w:r>
          </w:p>
        </w:tc>
        <w:tc>
          <w:tcPr>
            <w:tcW w:type="dxa" w:w="1440"/>
          </w:tcPr>
          <w:p>
            <w:r>
              <w:rPr>
                <w:rFonts w:ascii="Calibri" w:hAnsi="Calibri"/>
                <w:sz w:val="22"/>
              </w:rPr>
              <w:t>Jul 14</w:t>
            </w:r>
          </w:p>
        </w:tc>
        <w:tc>
          <w:tcPr>
            <w:tcW w:type="dxa" w:w="1440"/>
          </w:tcPr>
          <w:p>
            <w:r>
              <w:rPr>
                <w:rFonts w:ascii="Calibri" w:hAnsi="Calibri"/>
                <w:b/>
                <w:color w:val="30A46C"/>
                <w:sz w:val="22"/>
              </w:rPr>
              <w:t>Positive</w:t>
            </w:r>
          </w:p>
        </w:tc>
        <w:tc>
          <w:tcPr>
            <w:tcW w:type="dxa" w:w="1440"/>
          </w:tcPr>
          <w:p>
            <w:r>
              <w:rPr>
                <w:rFonts w:ascii="Calibri" w:hAnsi="Calibri"/>
                <w:b/>
                <w:color w:val="30A46C"/>
                <w:sz w:val="22"/>
              </w:rPr>
              <w:t>Positive</w:t>
            </w:r>
          </w:p>
        </w:tc>
        <w:tc>
          <w:tcPr>
            <w:tcW w:type="dxa" w:w="1440"/>
          </w:tcPr>
          <w:p>
            <w:r>
              <w:rPr>
                <w:rFonts w:ascii="Calibri" w:hAnsi="Calibri"/>
                <w:sz w:val="22"/>
              </w:rPr>
              <w:t>Mixed</w:t>
            </w:r>
          </w:p>
        </w:tc>
        <w:tc>
          <w:tcPr>
            <w:tcW w:type="dxa" w:w="1440"/>
          </w:tcPr>
          <w:p>
            <w:r>
              <w:rPr>
                <w:rFonts w:ascii="Calibri" w:hAnsi="Calibri"/>
                <w:b/>
                <w:color w:val="30A46C"/>
                <w:sz w:val="22"/>
              </w:rPr>
              <w:t>Positive</w:t>
            </w:r>
          </w:p>
        </w:tc>
      </w:tr>
      <w:tr>
        <w:tc>
          <w:tcPr>
            <w:tcW w:type="dxa" w:w="1440"/>
          </w:tcPr>
          <w:p>
            <w:r>
              <w:rPr>
                <w:rFonts w:ascii="Calibri" w:hAnsi="Calibri"/>
                <w:sz w:val="22"/>
              </w:rPr>
              <w:t>BAC</w:t>
            </w:r>
          </w:p>
        </w:tc>
        <w:tc>
          <w:tcPr>
            <w:tcW w:type="dxa" w:w="1440"/>
          </w:tcPr>
          <w:p>
            <w:r>
              <w:rPr>
                <w:rFonts w:ascii="Calibri" w:hAnsi="Calibri"/>
                <w:sz w:val="22"/>
              </w:rPr>
              <w:t>Jul 14</w:t>
            </w:r>
          </w:p>
        </w:tc>
        <w:tc>
          <w:tcPr>
            <w:tcW w:type="dxa" w:w="1440"/>
          </w:tcPr>
          <w:p>
            <w:r>
              <w:rPr>
                <w:rFonts w:ascii="Calibri" w:hAnsi="Calibri"/>
                <w:b/>
                <w:color w:val="30A46C"/>
                <w:sz w:val="22"/>
              </w:rPr>
              <w:t>Positive</w:t>
            </w:r>
          </w:p>
        </w:tc>
        <w:tc>
          <w:tcPr>
            <w:tcW w:type="dxa" w:w="1440"/>
          </w:tcPr>
          <w:p>
            <w:r>
              <w:rPr>
                <w:rFonts w:ascii="Calibri" w:hAnsi="Calibri"/>
                <w:b/>
                <w:color w:val="30A46C"/>
                <w:sz w:val="22"/>
              </w:rPr>
              <w:t>Positive</w:t>
            </w:r>
          </w:p>
        </w:tc>
        <w:tc>
          <w:tcPr>
            <w:tcW w:type="dxa" w:w="1440"/>
          </w:tcPr>
          <w:p>
            <w:r>
              <w:rPr>
                <w:rFonts w:ascii="Calibri" w:hAnsi="Calibri"/>
                <w:b/>
                <w:color w:val="30A46C"/>
                <w:sz w:val="22"/>
              </w:rPr>
              <w:t>Positive</w:t>
            </w:r>
          </w:p>
        </w:tc>
        <w:tc>
          <w:tcPr>
            <w:tcW w:type="dxa" w:w="1440"/>
          </w:tcPr>
          <w:p>
            <w:r>
              <w:rPr>
                <w:rFonts w:ascii="Calibri" w:hAnsi="Calibri"/>
                <w:b/>
                <w:color w:val="30A46C"/>
                <w:sz w:val="22"/>
              </w:rPr>
              <w:t>Positive</w:t>
            </w:r>
          </w:p>
        </w:tc>
      </w:tr>
      <w:tr>
        <w:tc>
          <w:tcPr>
            <w:tcW w:type="dxa" w:w="1440"/>
          </w:tcPr>
          <w:p>
            <w:r>
              <w:rPr>
                <w:rFonts w:ascii="Calibri" w:hAnsi="Calibri"/>
                <w:sz w:val="22"/>
              </w:rPr>
              <w:t>Citi</w:t>
            </w:r>
          </w:p>
        </w:tc>
        <w:tc>
          <w:tcPr>
            <w:tcW w:type="dxa" w:w="1440"/>
          </w:tcPr>
          <w:p>
            <w:r>
              <w:rPr>
                <w:rFonts w:ascii="Calibri" w:hAnsi="Calibri"/>
                <w:sz w:val="22"/>
              </w:rPr>
              <w:t>Jul 14</w:t>
            </w:r>
          </w:p>
        </w:tc>
        <w:tc>
          <w:tcPr>
            <w:tcW w:type="dxa" w:w="1440"/>
          </w:tcPr>
          <w:p>
            <w:r>
              <w:rPr>
                <w:rFonts w:ascii="Calibri" w:hAnsi="Calibri"/>
                <w:b/>
                <w:color w:val="30A46C"/>
                <w:sz w:val="22"/>
              </w:rPr>
              <w:t>Positive</w:t>
            </w:r>
          </w:p>
        </w:tc>
        <w:tc>
          <w:tcPr>
            <w:tcW w:type="dxa" w:w="1440"/>
          </w:tcPr>
          <w:p>
            <w:r>
              <w:rPr>
                <w:rFonts w:ascii="Calibri" w:hAnsi="Calibri"/>
                <w:b/>
                <w:color w:val="30A46C"/>
                <w:sz w:val="22"/>
              </w:rPr>
              <w:t>Positive</w:t>
            </w:r>
          </w:p>
        </w:tc>
        <w:tc>
          <w:tcPr>
            <w:tcW w:type="dxa" w:w="1440"/>
          </w:tcPr>
          <w:p>
            <w:r>
              <w:rPr>
                <w:rFonts w:ascii="Calibri" w:hAnsi="Calibri"/>
                <w:sz w:val="22"/>
              </w:rPr>
              <w:t>Mixed</w:t>
            </w:r>
          </w:p>
        </w:tc>
        <w:tc>
          <w:tcPr>
            <w:tcW w:type="dxa" w:w="1440"/>
          </w:tcPr>
          <w:p>
            <w:r>
              <w:rPr>
                <w:rFonts w:ascii="Calibri" w:hAnsi="Calibri"/>
                <w:b/>
                <w:color w:val="30A46C"/>
                <w:sz w:val="22"/>
              </w:rPr>
              <w:t>Positive</w:t>
            </w:r>
          </w:p>
        </w:tc>
      </w:tr>
      <w:tr>
        <w:tc>
          <w:tcPr>
            <w:tcW w:type="dxa" w:w="1440"/>
          </w:tcPr>
          <w:p>
            <w:r>
              <w:rPr>
                <w:rFonts w:ascii="Calibri" w:hAnsi="Calibri"/>
                <w:sz w:val="22"/>
              </w:rPr>
              <w:t>USB / CFG / PNC / FITB / TFC</w:t>
            </w:r>
          </w:p>
        </w:tc>
        <w:tc>
          <w:tcPr>
            <w:tcW w:type="dxa" w:w="1440"/>
          </w:tcPr>
          <w:p>
            <w:r>
              <w:rPr>
                <w:rFonts w:ascii="Calibri" w:hAnsi="Calibri"/>
                <w:sz w:val="22"/>
              </w:rPr>
              <w:t>Jul 15–17</w:t>
            </w:r>
          </w:p>
        </w:tc>
        <w:tc>
          <w:tcPr>
            <w:tcW w:type="dxa" w:w="1440"/>
          </w:tcPr>
          <w:p>
            <w:r>
              <w:rPr>
                <w:rFonts w:ascii="Calibri" w:hAnsi="Calibri"/>
                <w:b/>
                <w:color w:val="30A46C"/>
                <w:sz w:val="22"/>
              </w:rPr>
              <w:t>Positive</w:t>
            </w:r>
          </w:p>
        </w:tc>
        <w:tc>
          <w:tcPr>
            <w:tcW w:type="dxa" w:w="1440"/>
          </w:tcPr>
          <w:p>
            <w:r>
              <w:rPr>
                <w:rFonts w:ascii="Calibri" w:hAnsi="Calibri"/>
                <w:b/>
                <w:color w:val="30A46C"/>
                <w:sz w:val="22"/>
              </w:rPr>
              <w:t>Positive</w:t>
            </w:r>
          </w:p>
        </w:tc>
        <w:tc>
          <w:tcPr>
            <w:tcW w:type="dxa" w:w="1440"/>
          </w:tcPr>
          <w:p>
            <w:r>
              <w:rPr>
                <w:rFonts w:ascii="Calibri" w:hAnsi="Calibri"/>
                <w:b/>
                <w:color w:val="30A46C"/>
                <w:sz w:val="22"/>
              </w:rPr>
              <w:t>Positive</w:t>
            </w:r>
          </w:p>
        </w:tc>
        <w:tc>
          <w:tcPr>
            <w:tcW w:type="dxa" w:w="1440"/>
          </w:tcPr>
          <w:p>
            <w:r>
              <w:rPr>
                <w:rFonts w:ascii="Calibri" w:hAnsi="Calibri"/>
                <w:b/>
                <w:color w:val="30A46C"/>
                <w:sz w:val="22"/>
              </w:rPr>
              <w:t>Positive</w:t>
            </w:r>
          </w:p>
        </w:tc>
      </w:tr>
    </w:tbl>
    <w:p>
      <w:r>
        <w:rPr>
          <w:rFonts w:ascii="Calibri" w:hAnsi="Calibri"/>
          <w:b/>
          <w:color w:val="525866"/>
          <w:sz w:val="22"/>
        </w:rPr>
        <w:t xml:space="preserve">Bottom Line: </w:t>
      </w:r>
      <w:r>
        <w:rPr>
          <w:rFonts w:ascii="Calibri" w:hAnsi="Calibri"/>
          <w:color w:val="525866"/>
          <w:sz w:val="22"/>
        </w:rPr>
        <w:t>The peer read-through heading into COF’s Q2 2026 earnings is the most uniformly positive in recent memory. Every major bank reporting Q2 results cited better-than-expected consumer credit, resilient spending, and a constructive macro backdrop. The consistent theme — delinquencies and charge-offs down YoY and QoQ, spending robust across income segments, and multiple peers lowering their full-year NCO rate outlooks — directly supports the case that COF’s domestic card charge-off rate will come in at or below the 4.90% consensus estimate. The primary risk flagged by peers (Dimon’s “as good as it gets” caution, inflation second-order effects) is a forward-looking concern rather than a Q2 data point.</w:t>
      </w:r>
    </w:p>
    <w:p>
      <w:r>
        <w:rPr>
          <w:rFonts w:ascii="Calibri" w:hAnsi="Calibri"/>
          <w:i/>
          <w:color w:val="525866"/>
          <w:sz w:val="22"/>
        </w:rPr>
        <w:t>Sources: AXP Bernstein Conference transcript (May 28, 2026); AXP Morgan Stanley U.S. Financials Conference transcript (June 9, 2026); JPM Q2 2026 Earnings Call transcript (July 14, 2026); BAC Q2 2026 Earnings Call transcript (July 14, 2026); Citi Q2 2026 Earnings Call transcript (July 14, 2026); News Digest summaries for FITB, TFC, USB, CFG, PNC (July 15–17,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