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csx-earnings-predictions--2026-07-22"/>
    <w:p>
      <w:pPr>
        <w:pStyle w:val="Heading1"/>
      </w:pPr>
      <w:r>
        <w:t xml:space="preserve">CSX Earnings Predictions — 2026-07-22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CSX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operating ratio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~64.0% vs. cons 63.2%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CSX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EPS (adj.)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~$0.49 vs. cons $0.51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CSX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~$3.83B vs. cons $3.85B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CSX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operating-margin expansion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~200-300bps, high end vs. cons ~250bps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CSX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revenue growth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~mid-single-digit (+4-5%) vs. cons ~+5%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CSX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M&amp;A advisory costs / UP-NS consolidation stance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guide advisory cost ~$20-40M vs. cons ~n/a (Q2/FY2026)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CSX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CSX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-4.0% (FOLLOW-THROUGH)</w:t>
            </w:r>
          </w:p>
        </w:tc>
        <w:tc>
          <w:tcPr/>
          <w:p>
            <w:pPr>
              <w:pStyle w:val="Compact"/>
            </w:pPr>
            <w:r>
              <w:t xml:space="preserve">Into a rich +45% 12-mo run near 52-wk highs with consensus embedding a clean beat (EPS +16%, OR down ~90bps), pre-flagged Q2 headwinds (no ~$44M real-estate gain, locomotive overhaul timing, incentive comp, M&amp;A advisory, ~100bps fuel margin drag) likely muddy the margin line. A margin/EPS miss triggers modest downward out-period EPS revisions that drift estimates lower even if revenue is fine; merger optionality provides a partial floor but not enough to reverse, so the initial idiosyncratic drop follows through rather than fully recovering.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2026-07-22T00:37:14Z</dcterms:created>
  <dcterms:modified xsi:type="dcterms:W3CDTF">2026-07-22T00:37:14Z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