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CSX before writing the preview. Let me gather recent earnings materials, news, and financial data.Now let me get the year-ago Q2 comp, the consolidation/M&amp;A news, and recent stock performance.Let me get the latest on the rail consolidation situation, which appears central to the CSX story.Let me confirm the current state of the rail-merger landscape, which is clearly central to the CSX story.I now have what I need. Here's the earnings preview.</w:t>
      </w:r>
    </w:p>
    <w:p>
      <w:r>
        <w:pict>
          <v:rect style="width:0;height:1.5pt" o:hralign="center" o:hrstd="t" o:hr="t"/>
        </w:pict>
      </w:r>
    </w:p>
    <w:bookmarkStart w:id="19" w:name="csx-corp-csx--q2-2026-earnings-preview"/>
    <w:p>
      <w:pPr>
        <w:pStyle w:val="Heading1"/>
      </w:pPr>
      <w:r>
        <w:t xml:space="preserve">CSX Corp. (CSX) — Q2 2026 Earnings Preview</w:t>
      </w:r>
    </w:p>
    <w:p>
      <w:pPr>
        <w:pStyle w:val="FirstParagraph"/>
      </w:pPr>
      <w:r>
        <w:rPr>
          <w:b/>
          <w:bCs/>
        </w:rPr>
        <w:t xml:space="preserve">Report:</w:t>
      </w:r>
      <w:r>
        <w:t xml:space="preserve"> </w:t>
      </w:r>
      <w:r>
        <w:t xml:space="preserve">Wednesday, July 22, 2026, after the close · Conference call 4:30 p.m. ET</w:t>
      </w:r>
      <w:r>
        <w:t xml:space="preserve"> </w:t>
      </w:r>
      <w:r>
        <w:rPr>
          <w:b/>
          <w:bCs/>
        </w:rPr>
        <w:t xml:space="preserve">Stock:</w:t>
      </w:r>
      <w:r>
        <w:t xml:space="preserve"> </w:t>
      </w:r>
      <w:r>
        <w:t xml:space="preserve">~$49.9 (July 21 close) · roughly</w:t>
      </w:r>
      <w:r>
        <w:t xml:space="preserve"> </w:t>
      </w:r>
      <w:r>
        <w:rPr>
          <w:b/>
          <w:bCs/>
        </w:rPr>
        <w:t xml:space="preserve">+45% over the past 12 months</w:t>
      </w:r>
      <w:r>
        <w:t xml:space="preserve">, sharply outpacing the S&amp;P 500</w:t>
      </w:r>
    </w:p>
    <w:p>
      <w:r>
        <w:pict>
          <v:rect style="width:0;height:1.5pt" o:hralign="center" o:hrstd="t" o:hr="t"/>
        </w:pict>
      </w:r>
    </w:p>
    <w:bookmarkStart w:id="9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CSX heads into Q2 as a</w:t>
      </w:r>
      <w:r>
        <w:t xml:space="preserve"> </w:t>
      </w:r>
      <w:r>
        <w:rPr>
          <w:b/>
          <w:bCs/>
        </w:rPr>
        <w:t xml:space="preserve">two-story stock</w:t>
      </w:r>
      <w:r>
        <w:t xml:space="preserve">: (1) a genuine, self-help</w:t>
      </w:r>
      <w:r>
        <w:t xml:space="preserve"> </w:t>
      </w:r>
      <w:r>
        <w:rPr>
          <w:b/>
          <w:bCs/>
        </w:rPr>
        <w:t xml:space="preserve">operating turnaround</w:t>
      </w:r>
      <w:r>
        <w:t xml:space="preserve"> </w:t>
      </w:r>
      <w:r>
        <w:t xml:space="preserve">under new management that is finally bending the cost curve, layered on top of (2) an</w:t>
      </w:r>
      <w:r>
        <w:t xml:space="preserve"> </w:t>
      </w:r>
      <w:r>
        <w:rPr>
          <w:b/>
          <w:bCs/>
        </w:rPr>
        <w:t xml:space="preserve">M&amp;A re-rating</w:t>
      </w:r>
      <w:r>
        <w:t xml:space="preserve"> </w:t>
      </w:r>
      <w:r>
        <w:t xml:space="preserve">driven by the industry's race to consolidate. The fundamentals will decide whether the quarter is "good"; the merger commentary will decide how the stock trades.</w:t>
      </w:r>
    </w:p>
    <w:p>
      <w:r>
        <w:pict>
          <v:rect style="width:0;height:1.5pt" o:hralign="center" o:hrstd="t" o:hr="t"/>
        </w:pict>
      </w:r>
    </w:p>
    <w:bookmarkEnd w:id="9"/>
    <w:bookmarkStart w:id="10" w:name="X978e72115dcf47057ed499c06f572951c154a63"/>
    <w:p>
      <w:pPr>
        <w:pStyle w:val="Heading2"/>
      </w:pPr>
      <w:r>
        <w:t xml:space="preserve">Story #1 — Industry consolidation dominates the narrative</w:t>
      </w:r>
    </w:p>
    <w:p>
      <w:pPr>
        <w:pStyle w:val="FirstParagraph"/>
      </w:pPr>
      <w:r>
        <w:t xml:space="preserve">This is the single most important context for the print, and it explains most of the stock's move over the past year.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trigger:</w:t>
      </w:r>
      <w:r>
        <w:t xml:space="preserve"> </w:t>
      </w:r>
      <w:r>
        <w:t xml:space="preserve">In July 2025,</w:t>
      </w:r>
      <w:r>
        <w:t xml:space="preserve"> </w:t>
      </w:r>
      <w:r>
        <w:rPr>
          <w:b/>
          <w:bCs/>
        </w:rPr>
        <w:t xml:space="preserve">Union Pacific agreed to acquire Norfolk Southern (~$85B)</w:t>
      </w:r>
      <w:r>
        <w:t xml:space="preserve"> </w:t>
      </w:r>
      <w:r>
        <w:t xml:space="preserve">to create the first true U.S. transcontinental railroad. The STB rejected the initial application as incomplete in January 2026 but</w:t>
      </w:r>
      <w:r>
        <w:t xml:space="preserve"> </w:t>
      </w:r>
      <w:r>
        <w:rPr>
          <w:b/>
          <w:bCs/>
        </w:rPr>
        <w:t xml:space="preserve">formally accepted the revised application on May 28, 2026</w:t>
      </w:r>
      <w:r>
        <w:t xml:space="preserve">, so the deal is now advancing through regulatory review.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CSX is playing defense.</w:t>
      </w:r>
      <w:r>
        <w:t xml:space="preserve"> </w:t>
      </w:r>
      <w:r>
        <w:t xml:space="preserve">CSX (alongside BNSF, CPKC and CN) formally objected to the UP-NS filing, and in May 2026 it publicly</w:t>
      </w:r>
      <w:r>
        <w:t xml:space="preserve"> </w:t>
      </w:r>
      <w:r>
        <w:rPr>
          <w:b/>
          <w:bCs/>
        </w:rPr>
        <w:t xml:space="preserve">mobilized shippers against the merger</w:t>
      </w:r>
      <w:r>
        <w:t xml:space="preserve">, framing it around freight/competitive risk on its network.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"who does CSX dance with" question.</w:t>
      </w:r>
      <w:r>
        <w:t xml:space="preserve"> </w:t>
      </w:r>
      <w:r>
        <w:t xml:space="preserve">The obvious counter-pairing is</w:t>
      </w:r>
      <w:r>
        <w:t xml:space="preserve"> </w:t>
      </w:r>
      <w:r>
        <w:rPr>
          <w:b/>
          <w:bCs/>
        </w:rPr>
        <w:t xml:space="preserve">CSX + BNSF</w:t>
      </w:r>
      <w:r>
        <w:t xml:space="preserve">, but</w:t>
      </w:r>
      <w:r>
        <w:t xml:space="preserve"> </w:t>
      </w:r>
      <w:r>
        <w:rPr>
          <w:b/>
          <w:bCs/>
        </w:rPr>
        <w:t xml:space="preserve">Berkshire Hathaway (BNSF's owner) has repeatedly said it is not interested in acquiring an Eastern railroad</w:t>
      </w:r>
      <w:r>
        <w:t xml:space="preserve">, leaving CSX somewhat "on the outside looking in." That said, the market continues to price in strategic optionality.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New leadership was hired for this moment.</w:t>
      </w:r>
      <w:r>
        <w:t xml:space="preserve"> </w:t>
      </w:r>
      <w:r>
        <w:rPr>
          <w:b/>
          <w:bCs/>
        </w:rPr>
        <w:t xml:space="preserve">Steve Angel</w:t>
      </w:r>
      <w:r>
        <w:t xml:space="preserve"> </w:t>
      </w:r>
      <w:r>
        <w:t xml:space="preserve">(ex-Linde CEO, ex-GE Vernova chair) replaced Joe Hinrichs as CEO, paired with COO</w:t>
      </w:r>
      <w:r>
        <w:t xml:space="preserve"> </w:t>
      </w:r>
      <w:r>
        <w:rPr>
          <w:b/>
          <w:bCs/>
        </w:rPr>
        <w:t xml:space="preserve">Mike Cory</w:t>
      </w:r>
      <w:r>
        <w:t xml:space="preserve"> </w:t>
      </w:r>
      <w:r>
        <w:t xml:space="preserve">(ex-CN). On the Q1 call, Angel notably flagged</w:t>
      </w:r>
      <w:r>
        <w:t xml:space="preserve"> </w:t>
      </w:r>
      <w:r>
        <w:rPr>
          <w:b/>
          <w:bCs/>
        </w:rPr>
        <w:t xml:space="preserve">"advisory costs related to industry consolidation,"</w:t>
      </w:r>
      <w:r>
        <w:t xml:space="preserve"> </w:t>
      </w:r>
      <w:r>
        <w:t xml:space="preserve">and management explicitly told investors it would go into any consolidation scenario "from a position of strength."</w:t>
      </w:r>
    </w:p>
    <w:p>
      <w:pPr>
        <w:pStyle w:val="FirstParagraph"/>
      </w:pPr>
      <w:r>
        <w:rPr>
          <w:b/>
          <w:bCs/>
        </w:rPr>
        <w:t xml:space="preserve">What to listen for:</w:t>
      </w:r>
      <w:r>
        <w:t xml:space="preserve"> </w:t>
      </w:r>
      <w:r>
        <w:t xml:space="preserve">Any updated framing on CSX's strategic path (partner, standalone, or beneficiary), the tone/aggressiveness of its opposition to UP-NS, and how large the advisory/transaction costs run in Q2. This is where the stock reaction will be made or broken.</w:t>
      </w:r>
    </w:p>
    <w:p>
      <w:r>
        <w:pict>
          <v:rect style="width:0;height:1.5pt" o:hralign="center" o:hrstd="t" o:hr="t"/>
        </w:pict>
      </w:r>
    </w:p>
    <w:bookmarkEnd w:id="10"/>
    <w:bookmarkStart w:id="11" w:name="X6e3f0d49e05bf7efa7108cf9126ba8117c0b6ba"/>
    <w:p>
      <w:pPr>
        <w:pStyle w:val="Heading2"/>
      </w:pPr>
      <w:r>
        <w:t xml:space="preserve">Story #2 — The operating turnaround (the fundamental case)</w:t>
      </w:r>
    </w:p>
    <w:p>
      <w:pPr>
        <w:pStyle w:val="FirstParagraph"/>
      </w:pPr>
      <w:r>
        <w:t xml:space="preserve">Under Angel/Cory, CSX has pivoted hard to cost and efficiency, and Q1 2026 was the proof point: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Q1 2026</w:t>
            </w:r>
          </w:p>
        </w:tc>
        <w:tc>
          <w:tcPr/>
          <w:p>
            <w:pPr>
              <w:pStyle w:val="Compact"/>
            </w:pPr>
            <w:r>
              <w:t xml:space="preserve">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$3.48B</w:t>
            </w:r>
          </w:p>
        </w:tc>
        <w:tc>
          <w:tcPr/>
          <w:p>
            <w:pPr>
              <w:pStyle w:val="Compact"/>
            </w:pPr>
            <w:r>
              <w:t xml:space="preserve">+2% (on +3% volume)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income</w:t>
            </w:r>
          </w:p>
        </w:tc>
        <w:tc>
          <w:tcPr/>
          <w:p>
            <w:pPr>
              <w:pStyle w:val="Compact"/>
            </w:pPr>
            <w:r>
              <w:t xml:space="preserve">$1.25B</w:t>
            </w:r>
          </w:p>
        </w:tc>
        <w:tc>
          <w:tcPr/>
          <w:p>
            <w:pPr>
              <w:pStyle w:val="Compact"/>
            </w:pPr>
            <w:r>
              <w:t xml:space="preserve">+20%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$0.43</w:t>
            </w:r>
          </w:p>
        </w:tc>
        <w:tc>
          <w:tcPr/>
          <w:p>
            <w:pPr>
              <w:pStyle w:val="Compact"/>
            </w:pPr>
            <w:r>
              <w:t xml:space="preserve">+26%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expense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−6%</w:t>
            </w:r>
          </w:p>
        </w:tc>
      </w:tr>
    </w:tbl>
    <w:p>
      <w:pPr>
        <w:pStyle w:val="BodyText"/>
      </w:pPr>
      <w:r>
        <w:t xml:space="preserve">Q1 featured</w:t>
      </w:r>
      <w:r>
        <w:t xml:space="preserve"> </w:t>
      </w:r>
      <w:r>
        <w:rPr>
          <w:b/>
          <w:bCs/>
        </w:rPr>
        <w:t xml:space="preserve">&gt;</w:t>
      </w:r>
      <m:oMath>
        <m:r>
          <m:t>100</m:t>
        </m:r>
        <m:r>
          <m:t>M</m:t>
        </m:r>
        <m:r>
          <m:t>o</m:t>
        </m:r>
        <m:r>
          <m:t>f</m:t>
        </m:r>
        <m:r>
          <m:t>Y</m:t>
        </m:r>
        <m:r>
          <m:t>o</m:t>
        </m:r>
        <m:r>
          <m:t>Y</m:t>
        </m:r>
        <m:r>
          <m:t>e</m:t>
        </m:r>
        <m:r>
          <m:t>f</m:t>
        </m:r>
        <m:r>
          <m:t>f</m:t>
        </m:r>
        <m:r>
          <m:t>i</m:t>
        </m:r>
        <m:r>
          <m:t>c</m:t>
        </m:r>
        <m:r>
          <m:t>i</m:t>
        </m:r>
        <m:r>
          <m:t>e</m:t>
        </m:r>
        <m:r>
          <m:t>n</m:t>
        </m:r>
        <m:r>
          <m:t>c</m:t>
        </m:r>
        <m:r>
          <m:t>y</m:t>
        </m:r>
        <m:r>
          <m:t>s</m:t>
        </m:r>
        <m:r>
          <m:t>a</m:t>
        </m:r>
        <m:r>
          <m:t>v</m:t>
        </m:r>
        <m:r>
          <m:t>i</m:t>
        </m:r>
        <m:r>
          <m:t>n</m:t>
        </m:r>
        <m:r>
          <m:t>g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5</m:t>
        </m:r>
      </m:oMath>
      <w:r>
        <w:rPr>
          <w:b/>
          <w:bCs/>
        </w:rPr>
        <w:t xml:space="preserve">44M real estate gain</w:t>
      </w:r>
      <w:r>
        <w:t xml:space="preserve">. Management said it has</w:t>
      </w:r>
      <w:r>
        <w:t xml:space="preserve"> </w:t>
      </w:r>
      <w:r>
        <w:rPr>
          <w:b/>
          <w:bCs/>
        </w:rPr>
        <w:t xml:space="preserve">100+ cost initiatives</w:t>
      </w:r>
      <w:r>
        <w:t xml:space="preserve"> </w:t>
      </w:r>
      <w:r>
        <w:t xml:space="preserve">underway and is already building the 2027 pipeline. The FY guide was raised to</w:t>
      </w:r>
      <w:r>
        <w:t xml:space="preserve"> </w:t>
      </w:r>
      <w:r>
        <w:rPr>
          <w:b/>
          <w:bCs/>
        </w:rPr>
        <w:t xml:space="preserve">operating-margin expansion of 200–300bps, trending toward the high end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1"/>
    <w:bookmarkStart w:id="13" w:name="q2-2026--the-numbers-to-beat"/>
    <w:p>
      <w:pPr>
        <w:pStyle w:val="Heading2"/>
      </w:pPr>
      <w:r>
        <w:t xml:space="preserve">Q2 2026 — the numbers to beat</w:t>
      </w:r>
    </w:p>
    <w:p>
      <w:pPr>
        <w:pStyle w:val="FirstParagraph"/>
      </w:pPr>
      <w:r>
        <w:t xml:space="preserve">Consensus (per the Street) looks for: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Consensus Q2'26</w:t>
            </w:r>
          </w:p>
        </w:tc>
        <w:tc>
          <w:tcPr/>
          <w:p>
            <w:pPr>
              <w:pStyle w:val="Compact"/>
            </w:pPr>
            <w:r>
              <w:t xml:space="preserve">Actual Q2'25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~$3.85B (+~7.6%)</w:t>
            </w:r>
          </w:p>
        </w:tc>
        <w:tc>
          <w:tcPr/>
          <w:p>
            <w:pPr>
              <w:pStyle w:val="Compact"/>
            </w:pPr>
            <w:r>
              <w:t xml:space="preserve">$3.574B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operating ratio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~63.2%</w:t>
            </w:r>
          </w:p>
        </w:tc>
        <w:tc>
          <w:tcPr/>
          <w:p>
            <w:pPr>
              <w:pStyle w:val="Compact"/>
            </w:pPr>
            <w:r>
              <w:t xml:space="preserve">64.1% (35.9% op margin)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~$0.51</w:t>
            </w:r>
          </w:p>
        </w:tc>
        <w:tc>
          <w:tcPr/>
          <w:p>
            <w:pPr>
              <w:pStyle w:val="Compact"/>
            </w:pPr>
            <w:r>
              <w:t xml:space="preserve">$0.44</w:t>
            </w:r>
          </w:p>
        </w:tc>
      </w:tr>
      <w:tr>
        <w:tc>
          <w:tcPr/>
          <w:p>
            <w:pPr>
              <w:pStyle w:val="Compact"/>
            </w:pPr>
            <w:r>
              <w:t xml:space="preserve">Volume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1.58M units (flat YoY)</w:t>
            </w:r>
          </w:p>
        </w:tc>
      </w:tr>
    </w:tbl>
    <w:p>
      <w:pPr>
        <w:pStyle w:val="BodyText"/>
      </w:pPr>
      <w:r>
        <w:t xml:space="preserve">Implied: ~</w:t>
      </w:r>
      <w:r>
        <w:rPr>
          <w:b/>
          <w:bCs/>
        </w:rPr>
        <w:t xml:space="preserve">+16% EPS growth</w:t>
      </w:r>
      <w:r>
        <w:t xml:space="preserve"> </w:t>
      </w:r>
      <w:r>
        <w:t xml:space="preserve">and ~</w:t>
      </w:r>
      <w:r>
        <w:rPr>
          <w:b/>
          <w:bCs/>
        </w:rPr>
        <w:t xml:space="preserve">90bps of OR improvement</w:t>
      </w:r>
      <w:r>
        <w:t xml:space="preserve"> </w:t>
      </w:r>
      <w:r>
        <w:t xml:space="preserve">— a healthy step-up that leans heavily on the cost program and fuel-driven revenue.</w:t>
      </w:r>
    </w:p>
    <w:bookmarkStart w:id="12" w:name="key-swing-factors-this-quarter"/>
    <w:p>
      <w:pPr>
        <w:pStyle w:val="Heading3"/>
      </w:pPr>
      <w:r>
        <w:t xml:space="preserve">Key swing factors this quarter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Fuel is a double-edged sword.</w:t>
      </w:r>
      <w:r>
        <w:t xml:space="preserve"> </w:t>
      </w:r>
      <w:r>
        <w:t xml:space="preserve">Higher diesel (partly a Middle East / energy-price story) is</w:t>
      </w:r>
      <w:r>
        <w:t xml:space="preserve"> </w:t>
      </w:r>
      <w:r>
        <w:rPr>
          <w:i/>
          <w:iCs/>
        </w:rPr>
        <w:t xml:space="preserve">lifting</w:t>
      </w:r>
      <w:r>
        <w:t xml:space="preserve"> </w:t>
      </w:r>
      <w:r>
        <w:t xml:space="preserve">revenue and was the main reason FY revenue guidance moved from low- to mid-single-digit growth. But management warned fuel at higher levels</w:t>
      </w:r>
      <w:r>
        <w:t xml:space="preserve"> </w:t>
      </w:r>
      <w:r>
        <w:rPr>
          <w:b/>
          <w:bCs/>
        </w:rPr>
        <w:t xml:space="preserve">pressures reported margin by ~100bps</w:t>
      </w:r>
      <w:r>
        <w:t xml:space="preserve"> </w:t>
      </w:r>
      <w:r>
        <w:t xml:space="preserve">— so watch the</w:t>
      </w:r>
      <w:r>
        <w:t xml:space="preserve"> </w:t>
      </w:r>
      <w:r>
        <w:rPr>
          <w:i/>
          <w:iCs/>
        </w:rPr>
        <w:t xml:space="preserve">gap</w:t>
      </w:r>
      <w:r>
        <w:t xml:space="preserve"> </w:t>
      </w:r>
      <w:r>
        <w:t xml:space="preserve">between revenue growth and margin.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Management pre-warned Q2 cost headwinds:</w:t>
      </w:r>
      <w:r>
        <w:t xml:space="preserve"> </w:t>
      </w:r>
      <w:r>
        <w:t xml:space="preserve">(1)</w:t>
      </w:r>
      <w:r>
        <w:t xml:space="preserve"> </w:t>
      </w:r>
      <w:r>
        <w:rPr>
          <w:b/>
          <w:bCs/>
        </w:rPr>
        <w:t xml:space="preserve">no repeat of the ~$44M Q1 real estate gain</w:t>
      </w:r>
      <w:r>
        <w:t xml:space="preserve">, (2) higher</w:t>
      </w:r>
      <w:r>
        <w:t xml:space="preserve"> </w:t>
      </w:r>
      <w:r>
        <w:rPr>
          <w:b/>
          <w:bCs/>
        </w:rPr>
        <w:t xml:space="preserve">locomotive overhaul timing</w:t>
      </w:r>
      <w:r>
        <w:t xml:space="preserve">, (3)</w:t>
      </w:r>
      <w:r>
        <w:t xml:space="preserve"> </w:t>
      </w:r>
      <w:r>
        <w:rPr>
          <w:b/>
          <w:bCs/>
        </w:rPr>
        <w:t xml:space="preserve">incentive comp</w:t>
      </w:r>
      <w:r>
        <w:t xml:space="preserve">, and (4)</w:t>
      </w:r>
      <w:r>
        <w:t xml:space="preserve"> </w:t>
      </w:r>
      <w:r>
        <w:rPr>
          <w:b/>
          <w:bCs/>
        </w:rPr>
        <w:t xml:space="preserve">M&amp;A advisory costs</w:t>
      </w:r>
      <w:r>
        <w:t xml:space="preserve">. So don't expect the "normal" sequential PS&amp;O seasonality — a Q2 miss on OR could be optics from these items rather than a broken cost story.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Volume/mix:</w:t>
      </w:r>
      <w:r>
        <w:t xml:space="preserve"> </w:t>
      </w:r>
      <w:r>
        <w:t xml:space="preserve">Q1 merchandise volume was flat, intermodal +6%, coal −1%. Watch whether momentum built through the quarter (as management suggested) and whether</w:t>
      </w:r>
      <w:r>
        <w:t xml:space="preserve"> </w:t>
      </w:r>
      <w:r>
        <w:rPr>
          <w:b/>
          <w:bCs/>
        </w:rPr>
        <w:t xml:space="preserve">truck-to-rail conversion</w:t>
      </w:r>
      <w:r>
        <w:t xml:space="preserve"> </w:t>
      </w:r>
      <w:r>
        <w:t xml:space="preserve">accelerates with higher fuel/tighter trucking.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4" w:name="volume--segment-cheat-sheet"/>
    <w:p>
      <w:pPr>
        <w:pStyle w:val="Heading2"/>
      </w:pPr>
      <w:r>
        <w:t xml:space="preserve">Volume &amp; segment cheat sheet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Intermodal</w:t>
      </w:r>
      <w:r>
        <w:t xml:space="preserve"> </w:t>
      </w:r>
      <w:r>
        <w:t xml:space="preserve">— the growth engine. The</w:t>
      </w:r>
      <w:r>
        <w:t xml:space="preserve"> </w:t>
      </w:r>
      <w:r>
        <w:rPr>
          <w:b/>
          <w:bCs/>
        </w:rPr>
        <w:t xml:space="preserve">Howard Street Tunnel double-stack clearance</w:t>
      </w:r>
      <w:r>
        <w:t xml:space="preserve"> </w:t>
      </w:r>
      <w:r>
        <w:t xml:space="preserve">should be complete (final bridge was due "in the next week or so" as of the Q1 call), unlocking east-west capacity and taking ~a day out of transit. New SMX service with CPKC also ramping. Expect commentary on early bid-season traction (full ramp takes a couple of bid seasons).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Merchandise</w:t>
      </w:r>
      <w:r>
        <w:t xml:space="preserve"> </w:t>
      </w:r>
      <w:r>
        <w:t xml:space="preserve">— chemicals/plastics (feedstock advantage), minerals/aggregates/construction metals (infrastructure) positive;</w:t>
      </w:r>
      <w:r>
        <w:t xml:space="preserve"> </w:t>
      </w:r>
      <w:r>
        <w:rPr>
          <w:b/>
          <w:bCs/>
        </w:rPr>
        <w:t xml:space="preserve">forest products (housing) and automotive (a major plant down for retooling) remain headwinds.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Coal</w:t>
      </w:r>
      <w:r>
        <w:t xml:space="preserve"> </w:t>
      </w:r>
      <w:r>
        <w:t xml:space="preserve">— export benchmarks have stabilized after 2025's decline (Q1 coal RPU +3% sequentially, first flat-ish YoY since '22); domestic utility demand strong on power/data-center load. Watch two utility plant closures that could either hit volumes or get life-extended.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Industrial development</w:t>
      </w:r>
      <w:r>
        <w:t xml:space="preserve"> </w:t>
      </w:r>
      <w:r>
        <w:t xml:space="preserve">— ~600-project pipeline; ~100 projects expected in service in 2026, contributing ~50% more volume at full ramp than 2025's cohort. A structural, company-specific growth lever independent of macro.</w:t>
      </w:r>
    </w:p>
    <w:p>
      <w:r>
        <w:pict>
          <v:rect style="width:0;height:1.5pt" o:hralign="center" o:hrstd="t" o:hr="t"/>
        </w:pict>
      </w:r>
    </w:p>
    <w:bookmarkEnd w:id="14"/>
    <w:bookmarkStart w:id="15" w:name="operations-to-monitor"/>
    <w:p>
      <w:pPr>
        <w:pStyle w:val="Heading2"/>
      </w:pPr>
      <w:r>
        <w:t xml:space="preserve">Operations to monitor</w:t>
      </w:r>
    </w:p>
    <w:p>
      <w:pPr>
        <w:pStyle w:val="FirstParagraph"/>
      </w:pPr>
      <w:r>
        <w:t xml:space="preserve">Q1 service metrics (velocity, dwell) were</w:t>
      </w:r>
      <w:r>
        <w:t xml:space="preserve"> </w:t>
      </w:r>
      <w:r>
        <w:rPr>
          <w:b/>
          <w:bCs/>
        </w:rPr>
        <w:t xml:space="preserve">deliberately pressured</w:t>
      </w:r>
      <w:r>
        <w:t xml:space="preserve"> </w:t>
      </w:r>
      <w:r>
        <w:t xml:space="preserve">by concentrated engineering/curfew work as the team drove capital efficiency. Watch whether</w:t>
      </w:r>
      <w:r>
        <w:t xml:space="preserve"> </w:t>
      </w:r>
      <w:r>
        <w:rPr>
          <w:b/>
          <w:bCs/>
        </w:rPr>
        <w:t xml:space="preserve">train speed and dwell recover</w:t>
      </w:r>
      <w:r>
        <w:t xml:space="preserve"> </w:t>
      </w:r>
      <w:r>
        <w:t xml:space="preserve">in Q2 — Cory said bringing them "back in line" is a focus. Fuel efficiency and safety trends (FRA injury/accident rates) have been improving.</w:t>
      </w:r>
    </w:p>
    <w:bookmarkEnd w:id="15"/>
    <w:bookmarkStart w:id="16" w:name="capital-returns--fcf"/>
    <w:p>
      <w:pPr>
        <w:pStyle w:val="Heading2"/>
      </w:pPr>
      <w:r>
        <w:t xml:space="preserve">Capital returns &amp; FCF</w:t>
      </w:r>
    </w:p>
    <w:p>
      <w:pPr>
        <w:pStyle w:val="FirstParagraph"/>
      </w:pPr>
      <w:r>
        <w:t xml:space="preserve">FY26 guide: **capex below</w:t>
      </w:r>
      <w:r>
        <w:t xml:space="preserve"> </w:t>
      </w:r>
      <m:oMath>
        <m:r>
          <m:t>2.4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F</m:t>
        </m:r>
        <m:r>
          <m:t>C</m:t>
        </m:r>
        <m:r>
          <m:t>F</m:t>
        </m:r>
        <m:r>
          <m:t>g</m:t>
        </m:r>
        <m:r>
          <m:t>r</m:t>
        </m:r>
        <m:r>
          <m:t>o</m:t>
        </m:r>
        <m:r>
          <m:t>w</m:t>
        </m:r>
        <m:r>
          <m:t>t</m:t>
        </m:r>
        <m:r>
          <m:t>h</m:t>
        </m:r>
        <m:r>
          <m:rPr>
            <m:sty m:val="p"/>
          </m:rPr>
          <m:t>&gt;</m:t>
        </m:r>
        <m:r>
          <m:t>60</m:t>
        </m:r>
      </m:oMath>
      <w:r>
        <w:t xml:space="preserve">1.15B repurchased in 1H25) and pay a growing dividend. Higher FCF + a rich share price is the tension for the buyback pace.</w:t>
      </w:r>
    </w:p>
    <w:p>
      <w:r>
        <w:pict>
          <v:rect style="width:0;height:1.5pt" o:hralign="center" o:hrstd="t" o:hr="t"/>
        </w:pict>
      </w:r>
    </w:p>
    <w:bookmarkEnd w:id="16"/>
    <w:bookmarkStart w:id="17" w:name="valuation--stock-setup"/>
    <w:p>
      <w:pPr>
        <w:pStyle w:val="Heading2"/>
      </w:pPr>
      <w:r>
        <w:t xml:space="preserve">Valuation / stock setup</w:t>
      </w:r>
    </w:p>
    <w:p>
      <w:pPr>
        <w:pStyle w:val="FirstParagraph"/>
      </w:pPr>
      <w:r>
        <w:t xml:space="preserve">The rails have</w:t>
      </w:r>
      <w:r>
        <w:t xml:space="preserve"> </w:t>
      </w:r>
      <w:r>
        <w:rPr>
          <w:b/>
          <w:bCs/>
        </w:rPr>
        <w:t xml:space="preserve">re-rated hard</w:t>
      </w:r>
      <w:r>
        <w:t xml:space="preserve"> </w:t>
      </w:r>
      <w:r>
        <w:t xml:space="preserve">— CSX, NSC and UNP are all near 52-week highs, and the Street itself flags that</w:t>
      </w:r>
      <w:r>
        <w:t xml:space="preserve"> </w:t>
      </w:r>
      <w:r>
        <w:rPr>
          <w:b/>
          <w:bCs/>
        </w:rPr>
        <w:t xml:space="preserve">sector valuations have become rich</w:t>
      </w:r>
      <w:r>
        <w:t xml:space="preserve"> </w:t>
      </w:r>
      <w:r>
        <w:t xml:space="preserve">even as volume trends and consolidation optionality keep sentiment bullish. With ~+45% already in the stock over the past year and consensus embedding a clean beat (EPS +16%, OR down ~90bps),</w:t>
      </w:r>
      <w:r>
        <w:t xml:space="preserve"> </w:t>
      </w:r>
      <w:r>
        <w:rPr>
          <w:b/>
          <w:bCs/>
        </w:rPr>
        <w:t xml:space="preserve">the bar is high</w:t>
      </w:r>
      <w:r>
        <w:t xml:space="preserve"> </w:t>
      </w:r>
      <w:r>
        <w:t xml:space="preserve">and the risk is asymmetric: a solid-but-in-line print with margin optically muddied by fuel + pre-flagged costs could disappoint, while merger developments (in either direction) can override the fundamentals entirely.</w:t>
      </w:r>
    </w:p>
    <w:p>
      <w:r>
        <w:pict>
          <v:rect style="width:0;height:1.5pt" o:hralign="center" o:hrstd="t" o:hr="t"/>
        </w:pict>
      </w:r>
    </w:p>
    <w:bookmarkEnd w:id="17"/>
    <w:bookmarkStart w:id="18" w:name="bottom-line--the-5-questions-that-matter"/>
    <w:p>
      <w:pPr>
        <w:pStyle w:val="Heading2"/>
      </w:pPr>
      <w:r>
        <w:t xml:space="preserve">Bottom line — the 5 questions that matter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Cost trajectory:</w:t>
      </w:r>
      <w:r>
        <w:t xml:space="preserve"> </w:t>
      </w:r>
      <w:r>
        <w:t xml:space="preserve">Is the PS&amp;O/efficiency progress durable, and does the OR still improve YoY</w:t>
      </w:r>
      <w:r>
        <w:t xml:space="preserve"> </w:t>
      </w:r>
      <w:r>
        <w:rPr>
          <w:i/>
          <w:iCs/>
        </w:rPr>
        <w:t xml:space="preserve">despite</w:t>
      </w:r>
      <w:r>
        <w:t xml:space="preserve"> </w:t>
      </w:r>
      <w:r>
        <w:t xml:space="preserve">the fuel drag and no real-estate gain?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Guidance:</w:t>
      </w:r>
      <w:r>
        <w:t xml:space="preserve"> </w:t>
      </w:r>
      <w:r>
        <w:t xml:space="preserve">Does management raise/reaffirm the "high end of 200–300bps" margin framework and the mid-single-digit revenue outlook?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Merger positioning:</w:t>
      </w:r>
      <w:r>
        <w:t xml:space="preserve"> </w:t>
      </w:r>
      <w:r>
        <w:t xml:space="preserve">Any change in CSX's stance on UP-NS, or hints on its own strategic path? How big are the advisory costs?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Volume inflection:</w:t>
      </w:r>
      <w:r>
        <w:t xml:space="preserve"> </w:t>
      </w:r>
      <w:r>
        <w:t xml:space="preserve">Is truck-to-rail conversion and Howard Street double-stack starting to show up in intermodal?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Fuel math:</w:t>
      </w:r>
      <w:r>
        <w:t xml:space="preserve"> </w:t>
      </w:r>
      <w:r>
        <w:t xml:space="preserve">How much of the "beat" is real operating leverage vs. fuel-driven revenue that washes out at the margin line?</w:t>
      </w:r>
    </w:p>
    <w:p>
      <w:pPr>
        <w:pStyle w:val="FirstParagraph"/>
      </w:pPr>
      <w:r>
        <w:rPr>
          <w:i/>
          <w:iCs/>
        </w:rPr>
        <w:t xml:space="preserve">Note: figures reflect company filings/transcripts (Q1 2026 and Q2 2025), Street consensus from the pre-earnings news digest, market data through July 21, 2026, and public reporting on the UP-NS merger and CSX's management/M&amp;A situation. Consensus estimates can vary by source.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2026-07-22T00:37:14Z</dcterms:created>
  <dcterms:modified xsi:type="dcterms:W3CDTF">2026-07-22T00:37:14Z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