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Now I have solid information to write a comprehensive earnings preview.# CSX Corporation (NASDAQ: CSX) — Q2 2026 Earnings Preview</w:t>
      </w:r>
      <w:r>
        <w:t xml:space="preserve"> </w:t>
      </w:r>
      <w:r>
        <w:rPr>
          <w:b/>
          <w:bCs/>
        </w:rPr>
        <w:t xml:space="preserve">Report Date:</w:t>
      </w:r>
      <w:r>
        <w:t xml:space="preserve"> </w:t>
      </w:r>
      <w:r>
        <w:t xml:space="preserve">Wednesday, July 22, 2026, after market close |</w:t>
      </w:r>
      <w:r>
        <w:t xml:space="preserve"> </w:t>
      </w:r>
      <w:r>
        <w:rPr>
          <w:b/>
          <w:bCs/>
        </w:rPr>
        <w:t xml:space="preserve">Call:</w:t>
      </w:r>
      <w:r>
        <w:t xml:space="preserve"> </w:t>
      </w:r>
      <w:r>
        <w:t xml:space="preserve">4:30 PM ET</w:t>
      </w:r>
    </w:p>
    <w:p>
      <w:r>
        <w:pict>
          <v:rect style="width:0;height:1.5pt" o:hralign="center" o:hrstd="t" o:hr="t"/>
        </w:pict>
      </w:r>
    </w:p>
    <w:bookmarkStart w:id="9" w:name="setup-rails-are-running-hot-into-print"/>
    <w:p>
      <w:pPr>
        <w:pStyle w:val="Heading2"/>
      </w:pPr>
      <w:r>
        <w:t xml:space="preserve">Setup: Rails Are Running Hot Into Print</w:t>
      </w:r>
    </w:p>
    <w:p>
      <w:pPr>
        <w:pStyle w:val="FirstParagraph"/>
      </w:pPr>
      <w:r>
        <w:t xml:space="preserve">CSX shares have been on a tear heading into tomorrow's report, up roughly</w:t>
      </w:r>
      <w:r>
        <w:t xml:space="preserve"> </w:t>
      </w:r>
      <w:r>
        <w:rPr>
          <w:b/>
          <w:bCs/>
        </w:rPr>
        <w:t xml:space="preserve">38% year-to-date</w:t>
      </w:r>
      <w:r>
        <w:t xml:space="preserve"> </w:t>
      </w:r>
      <w:r>
        <w:t xml:space="preserve">(from ~</w:t>
      </w:r>
      <m:oMath>
        <m:r>
          <m:t>36</m:t>
        </m:r>
        <m:r>
          <m:t>i</m:t>
        </m:r>
        <m:r>
          <m:t>n</m:t>
        </m:r>
        <m:r>
          <m:t>e</m:t>
        </m:r>
        <m:r>
          <m:t>a</m:t>
        </m:r>
        <m:r>
          <m:t>r</m:t>
        </m:r>
        <m:r>
          <m:t>l</m:t>
        </m:r>
        <m:r>
          <m:t>y</m:t>
        </m:r>
        <m:r>
          <m:t>J</m:t>
        </m:r>
        <m:r>
          <m:t>a</m:t>
        </m:r>
        <m:r>
          <m:t>n</m:t>
        </m:r>
        <m:r>
          <m:t>u</m:t>
        </m:r>
        <m:r>
          <m:t>a</m:t>
        </m:r>
        <m:r>
          <m:t>r</m:t>
        </m:r>
        <m:r>
          <m:t>y</m:t>
        </m:r>
        <m:r>
          <m:t>t</m:t>
        </m:r>
        <m:r>
          <m:t>o</m:t>
        </m:r>
        <m:r>
          <m:t> </m:t>
        </m:r>
      </m:oMath>
      <w:r>
        <w:t xml:space="preserve">50 currently) and up over 8% in just the past month — outperforming peers Union Pacific (+26% YTD) and Norfolk Southern (+15% YTD) over the same stretch. Sentiment has turned bullish across the rail sector on the back of favorable volume trends and hopes that industry consolidation could enhance long-term pricing power, though valuations have gotten rich. The stock is trading close to Street price targets (~</w:t>
      </w:r>
      <m:oMath>
        <m:r>
          <m:t>47.69</m:t>
        </m:r>
        <m:r>
          <m:rPr>
            <m:sty m:val="p"/>
          </m:rPr>
          <m:t>–</m:t>
        </m:r>
      </m:oMath>
      <w:r>
        <w:t xml:space="preserve">50.63 average, depending on source), meaning expectations are elevated and the bar for a "good" print is high.</w:t>
      </w:r>
    </w:p>
    <w:bookmarkEnd w:id="9"/>
    <w:bookmarkStart w:id="10" w:name="what-the-street-expects"/>
    <w:p>
      <w:pPr>
        <w:pStyle w:val="Heading2"/>
      </w:pPr>
      <w:r>
        <w:t xml:space="preserve">What the Street Expects</w:t>
      </w:r>
    </w:p>
    <w:p>
      <w:pPr>
        <w:pStyle w:val="FirstParagraph"/>
      </w:pPr>
      <w:r>
        <w:t xml:space="preserve">Consensus estimates have crept higher over the past 30-60 days:</w:t>
      </w:r>
    </w:p>
    <w:p>
      <w:pPr>
        <w:pStyle w:val="Compact"/>
        <w:numPr>
          <w:ilvl w:val="0"/>
          <w:numId w:val="1001"/>
        </w:numPr>
      </w:pPr>
      <w:r>
        <w:rPr>
          <w:b/>
          <w:bCs/>
        </w:rPr>
        <w:t xml:space="preserve">Revenue:</w:t>
      </w:r>
      <w:r>
        <w:t xml:space="preserve"> </w:t>
      </w:r>
      <w:r>
        <w:t xml:space="preserve">~$3.82–3.88 billion, implying **~7-9% year-over-year growth** (a sharp reversal from the 3.4% revenue decline in the same quarter last year)</w:t>
      </w:r>
    </w:p>
    <w:p>
      <w:pPr>
        <w:pStyle w:val="Compact"/>
        <w:numPr>
          <w:ilvl w:val="0"/>
          <w:numId w:val="1001"/>
        </w:numPr>
      </w:pPr>
      <w:r>
        <w:rPr>
          <w:b/>
          <w:bCs/>
        </w:rPr>
        <w:t xml:space="preserve">EPS:</w:t>
      </w:r>
      <w:r>
        <w:t xml:space="preserve"> </w:t>
      </w:r>
      <w:r>
        <w:t xml:space="preserve">consensus clustered around</w:t>
      </w:r>
      <w:r>
        <w:t xml:space="preserve"> </w:t>
      </w:r>
      <m:oMath>
        <m:r>
          <m:t>0.49</m:t>
        </m:r>
        <m:r>
          <m:rPr>
            <m:sty m:val="p"/>
          </m:rPr>
          <m:t>–</m:t>
        </m:r>
      </m:oMath>
      <w:r>
        <w:rPr>
          <w:b/>
          <w:bCs/>
        </w:rPr>
        <w:t xml:space="preserve">0.51</w:t>
      </w:r>
      <w:r>
        <w:t xml:space="preserve"> </w:t>
      </w:r>
      <w:r>
        <w:t xml:space="preserve">(vs. $0.44 a year ago), roughly 9-14% growth</w:t>
      </w:r>
    </w:p>
    <w:p>
      <w:pPr>
        <w:pStyle w:val="Compact"/>
        <w:numPr>
          <w:ilvl w:val="0"/>
          <w:numId w:val="1001"/>
        </w:numPr>
      </w:pPr>
      <w:r>
        <w:rPr>
          <w:b/>
          <w:bCs/>
        </w:rPr>
        <w:t xml:space="preserve">Adjusted operating ratio:</w:t>
      </w:r>
      <w:r>
        <w:t xml:space="preserve"> </w:t>
      </w:r>
      <w:r>
        <w:t xml:space="preserve">~63.2%</w:t>
      </w:r>
    </w:p>
    <w:p>
      <w:pPr>
        <w:pStyle w:val="Compact"/>
        <w:numPr>
          <w:ilvl w:val="0"/>
          <w:numId w:val="1001"/>
        </w:numPr>
      </w:pPr>
      <w:r>
        <w:t xml:space="preserve">CSX has beaten EPS estimates in three of its last four quarters (average beat ~3%), and analysts have generally reconfirmed rather than cut estimates into the print — a sign of confidence in the setup.</w:t>
      </w:r>
    </w:p>
    <w:p>
      <w:pPr>
        <w:pStyle w:val="FirstParagraph"/>
      </w:pPr>
      <w:r>
        <w:t xml:space="preserve">Segment-level Street expectations include coal revenue near $507-517 million (+6-8% y/y) and intermodal revenue near $547-563 million (+11-15% y/y), reflecting continued truck-to-rail conversion and new intermodal business wins.</w:t>
      </w:r>
    </w:p>
    <w:bookmarkEnd w:id="10"/>
    <w:bookmarkStart w:id="11" w:name="what-to-watch-key-themes-from-q1"/>
    <w:p>
      <w:pPr>
        <w:pStyle w:val="Heading2"/>
      </w:pPr>
      <w:r>
        <w:t xml:space="preserve">What to Watch: Key Themes From Q1</w:t>
      </w:r>
    </w:p>
    <w:p>
      <w:pPr>
        <w:pStyle w:val="FirstParagraph"/>
      </w:pPr>
      <w:r>
        <w:t xml:space="preserve">CSX's Q1 2026 results (reported April 22) set the stage. The quarter showed</w:t>
      </w:r>
      <w:r>
        <w:t xml:space="preserve"> </w:t>
      </w:r>
      <w:r>
        <w:rPr>
          <w:b/>
          <w:bCs/>
        </w:rPr>
        <w:t xml:space="preserve">operating income of $1.25 billion</w:t>
      </w:r>
      <w:r>
        <w:t xml:space="preserve"> </w:t>
      </w:r>
      <w:r>
        <w:t xml:space="preserve">(+20% y/y) and</w:t>
      </w:r>
      <w:r>
        <w:t xml:space="preserve"> </w:t>
      </w:r>
      <w:r>
        <w:rPr>
          <w:b/>
          <w:bCs/>
        </w:rPr>
        <w:t xml:space="preserve">net earnings of $807 million, or $0.43 per diluted share</w:t>
      </w:r>
      <w:r>
        <w:t xml:space="preserve"> </w:t>
      </w:r>
      <w:r>
        <w:t xml:space="preserve">(vs. $0.34 a year ago), on</w:t>
      </w:r>
      <w:r>
        <w:t xml:space="preserve"> </w:t>
      </w:r>
      <w:r>
        <w:rPr>
          <w:b/>
          <w:bCs/>
        </w:rPr>
        <w:t xml:space="preserve">total volume up 3%</w:t>
      </w:r>
      <w:r>
        <w:t xml:space="preserve"> </w:t>
      </w:r>
      <w:r>
        <w:t xml:space="preserve">and</w:t>
      </w:r>
      <w:r>
        <w:t xml:space="preserve"> </w:t>
      </w:r>
      <w:r>
        <w:rPr>
          <w:b/>
          <w:bCs/>
        </w:rPr>
        <w:t xml:space="preserve">revenue of $3.48 billion, up 2% year-over-year</w:t>
      </w:r>
      <w:r>
        <w:t xml:space="preserve">. Management raised full-year revenue guidance to mid-single-digit growth (from low-single-digit) and now expects operating margin expansion toward the</w:t>
      </w:r>
      <w:r>
        <w:t xml:space="preserve"> </w:t>
      </w:r>
      <w:r>
        <w:rPr>
          <w:b/>
          <w:bCs/>
        </w:rPr>
        <w:t xml:space="preserve">high end of a 200-300 basis point range</w:t>
      </w:r>
      <w:r>
        <w:t xml:space="preserve">, along with</w:t>
      </w:r>
      <w:r>
        <w:t xml:space="preserve"> </w:t>
      </w:r>
      <w:r>
        <w:rPr>
          <w:b/>
          <w:bCs/>
        </w:rPr>
        <w:t xml:space="preserve">free cash flow growth of more than 60%</w:t>
      </w:r>
      <w:r>
        <w:t xml:space="preserve"> </w:t>
      </w:r>
      <w:r>
        <w:t xml:space="preserve">versus 2025 and capex held below $2.4 billion.</w:t>
      </w:r>
    </w:p>
    <w:p>
      <w:pPr>
        <w:pStyle w:val="BodyText"/>
      </w:pPr>
      <w:r>
        <w:t xml:space="preserve">Investors should focus on several threads carried over from Q1 guidance and commentary:</w:t>
      </w:r>
    </w:p>
    <w:p>
      <w:pPr>
        <w:pStyle w:val="BodyText"/>
      </w:pPr>
      <w:r>
        <w:rPr>
          <w:b/>
          <w:bCs/>
        </w:rPr>
        <w:t xml:space="preserve">1. Cost/productivity momentum vs. Q2 headwinds.</w:t>
      </w:r>
      <w:r>
        <w:t xml:space="preserve"> </w:t>
      </w:r>
      <w:r>
        <w:t xml:space="preserve">CFO Kevin Boone flagged that Q2 would include several non-repeating cost items: "we do expect some nonseasonal expense from incentive compensation, timing of contractual locomotive costs, including overhauls and advisory costs related to industry consolidation" Additionally, Q1's "real estate gain that occurred in the first quarter of $44 million" won't repeat in Q2, and management indicated engine overhaul costs would be "a little bit higher than what we saw in the first quarter." Watch whether the underlying PS&amp;O productivity story (over $100 million of efficiency savings in Q1 alone) is strong enough to offset these headwinds plus higher fuel expense.</w:t>
      </w:r>
    </w:p>
    <w:p>
      <w:pPr>
        <w:pStyle w:val="BodyText"/>
      </w:pPr>
      <w:r>
        <w:rPr>
          <w:b/>
          <w:bCs/>
        </w:rPr>
        <w:t xml:space="preserve">2. Fuel as a double-edged sword.</w:t>
      </w:r>
      <w:r>
        <w:t xml:space="preserve"> </w:t>
      </w:r>
      <w:r>
        <w:t xml:space="preserve">Management noted "higher fuel increases our revenue and expands our expenses, which can pressure reported margin" — diesel prices have been rising amid Middle East conflict, which lifts fuel-surcharge revenue but also raises costs. Watch the reported operating ratio closely given this dynamic, and note management's comment that fuel is "in the crosshairs" of ongoing efficiency efforts (vehicle spend, utilities, locomotive fuel).</w:t>
      </w:r>
    </w:p>
    <w:p>
      <w:pPr>
        <w:pStyle w:val="BodyText"/>
      </w:pPr>
      <w:r>
        <w:rPr>
          <w:b/>
          <w:bCs/>
        </w:rPr>
        <w:t xml:space="preserve">3. Service/network fluidity — dwell times and train speed.</w:t>
      </w:r>
      <w:r>
        <w:t xml:space="preserve"> </w:t>
      </w:r>
      <w:r>
        <w:t xml:space="preserve">COO Mike Cory acknowledged in Q1 that aggressive engineering productivity work had "impacted our train and yard plans" and caused some rerouting and delay as the network absorbed heavier curfew-driven maintenance work. Investors will want an update on whether dwell time and train speed metrics have normalized as the new CEO Steve Angel's efficiency push matures.</w:t>
      </w:r>
    </w:p>
    <w:p>
      <w:pPr>
        <w:pStyle w:val="BodyText"/>
      </w:pPr>
      <w:r>
        <w:rPr>
          <w:b/>
          <w:bCs/>
        </w:rPr>
        <w:t xml:space="preserve">4. Intermodal growth catalysts — Howard Street Tunnel &amp; SMX.</w:t>
      </w:r>
      <w:r>
        <w:t xml:space="preserve"> </w:t>
      </w:r>
      <w:r>
        <w:t xml:space="preserve">The completion of the Howard Street Tunnel double-stack clearance project (final bridge work wrapping up around Q1-end) and the CPKC "SMX" service upgrade (Southeast–Dallas–Mexico) are expected to be tailwinds. Management noted intermodal has "good momentum with tighter trucking supply and higher diesel prices creating tailwinds for freight conversions," and new services from Howard Street should unlock previously inefficient lanes (e.g., Atlanta to the Northeast) — though management cautioned this ramps over "a couple of bid seasons."</w:t>
      </w:r>
    </w:p>
    <w:p>
      <w:pPr>
        <w:pStyle w:val="BodyText"/>
      </w:pPr>
      <w:r>
        <w:rPr>
          <w:b/>
          <w:bCs/>
        </w:rPr>
        <w:t xml:space="preserve">5. Merchandise mix — coal, chemicals, forest products, housing/auto weakness.</w:t>
      </w:r>
      <w:r>
        <w:t xml:space="preserve"> </w:t>
      </w:r>
      <w:r>
        <w:t xml:space="preserve">Q1 showed strength in minerals (cement, salt), chemicals (frac sand, plastics benefiting from Middle East-driven feedstock advantages), and a first sequential firming in coal RPU. Persistent drags included forest products (down 9% in Q1 on weak housing) and automotive (production down ~2% for the year, compounded by an extended plant retooling on CSX's network). Watch for commentary on whether housing/auto headwinds have eased or if forest products closures continue to weigh.</w:t>
      </w:r>
    </w:p>
    <w:p>
      <w:pPr>
        <w:pStyle w:val="BodyText"/>
      </w:pPr>
      <w:r>
        <w:rPr>
          <w:b/>
          <w:bCs/>
        </w:rPr>
        <w:t xml:space="preserve">6. Industrial development pipeline.</w:t>
      </w:r>
      <w:r>
        <w:t xml:space="preserve"> </w:t>
      </w:r>
      <w:r>
        <w:t xml:space="preserve">CSX flagged an active pipeline of roughly 600 projects, with about 100 expected to enter service in 2026 (vs. 85 in 2025), which management said should deliver "roughly 50% more volume at full ramp than last year's" cohort. This is a multi-year structural growth driver worth tracking for incremental updates.</w:t>
      </w:r>
    </w:p>
    <w:bookmarkEnd w:id="11"/>
    <w:bookmarkStart w:id="12" w:name="X4f1042a246665eecf6f55de7897c6d9099a0df8"/>
    <w:p>
      <w:pPr>
        <w:pStyle w:val="Heading2"/>
      </w:pPr>
      <w:r>
        <w:t xml:space="preserve">The Elephant in the Room: Rail Industry Consolidation</w:t>
      </w:r>
    </w:p>
    <w:p>
      <w:pPr>
        <w:pStyle w:val="FirstParagraph"/>
      </w:pPr>
      <w:r>
        <w:t xml:space="preserve">The single biggest overhang/catalyst for CSX right now is</w:t>
      </w:r>
      <w:r>
        <w:t xml:space="preserve"> </w:t>
      </w:r>
      <w:r>
        <w:rPr>
          <w:b/>
          <w:bCs/>
        </w:rPr>
        <w:t xml:space="preserve">Union Pacific's proposed $85 billion transcontinental merger with Norfolk Southern</w:t>
      </w:r>
      <w:r>
        <w:t xml:space="preserve">. Timeline recap: UP and NS filed their merger application with the STB in December 2025; the STB rejected it as incomplete in January 2026; a revised application was filed April 30, 2026 and</w:t>
      </w:r>
      <w:r>
        <w:t xml:space="preserve"> </w:t>
      </w:r>
      <w:r>
        <w:rPr>
          <w:b/>
          <w:bCs/>
        </w:rPr>
        <w:t xml:space="preserve">accepted by the STB on May 28, 2026</w:t>
      </w:r>
      <w:r>
        <w:t xml:space="preserve">, though the board held proceedings (including environmental review) in abeyance and ordered supplemental information by July 27, 2026 — a deadline that falls just days after CSX's earnings call. UP and NS have indicated they expect the deal to close in 2027.</w:t>
      </w:r>
    </w:p>
    <w:p>
      <w:pPr>
        <w:pStyle w:val="BodyText"/>
      </w:pPr>
      <w:r>
        <w:t xml:space="preserve">CSX itself has formally objected to the merger application, arguing before the STB that the filing was incomplete, alongside BNSF and other objectors. Separately, speculation about a</w:t>
      </w:r>
      <w:r>
        <w:t xml:space="preserve"> </w:t>
      </w:r>
      <w:r>
        <w:rPr>
          <w:b/>
          <w:bCs/>
        </w:rPr>
        <w:t xml:space="preserve">CSX-BNSF combination</w:t>
      </w:r>
      <w:r>
        <w:t xml:space="preserve"> </w:t>
      </w:r>
      <w:r>
        <w:t xml:space="preserve">as a competitive response has repeatedly surfaced but Warren Buffett stated last summer that Berkshire (BNSF's parent) has no interest in acquiring another railroad, effectively cooling those rumors — even as CSX and BNSF have instead pursued a</w:t>
      </w:r>
      <w:r>
        <w:t xml:space="preserve"> </w:t>
      </w:r>
      <w:r>
        <w:rPr>
          <w:b/>
          <w:bCs/>
        </w:rPr>
        <w:t xml:space="preserve">commercial partnership</w:t>
      </w:r>
      <w:r>
        <w:t xml:space="preserve">, launching coast-to-coast intermodal services together rather than pursuing M&amp;A. CEO Steve Angel addressed this directly on the Q1 call, noting his own merger experience took three years start to finish and that CSX's strategy is to keep "executing at a high level in the base business" so it enters any consolidation "from a position of strength" regardless of outcome.</w:t>
      </w:r>
    </w:p>
    <w:p>
      <w:pPr>
        <w:pStyle w:val="BodyText"/>
      </w:pPr>
      <w:r>
        <w:rPr>
          <w:b/>
          <w:bCs/>
        </w:rPr>
        <w:t xml:space="preserve">Investor takeaway:</w:t>
      </w:r>
      <w:r>
        <w:t xml:space="preserve"> </w:t>
      </w:r>
      <w:r>
        <w:t xml:space="preserve">expect renewed questions on tomorrow's call about (a) the STB's July 27 supplemental-information deadline for UP-NS, (b) whether CSX sees a need to pursue its own strategic response, and (c) how CSX's standalone efficiency/network investments (Howard Street, SMX, industrial development) position it competitively if the UP-NS deal closes in 2027.</w:t>
      </w:r>
    </w:p>
    <w:bookmarkEnd w:id="12"/>
    <w:bookmarkStart w:id="13" w:name="bottom-line"/>
    <w:p>
      <w:pPr>
        <w:pStyle w:val="Heading2"/>
      </w:pPr>
      <w:r>
        <w:t xml:space="preserve">Bottom Line</w:t>
      </w:r>
    </w:p>
    <w:p>
      <w:pPr>
        <w:pStyle w:val="FirstParagraph"/>
      </w:pPr>
      <w:r>
        <w:t xml:space="preserve">CSX heads into Wednesday's print with strong momentum — an easy-to-beat cost base turning around under new CEO Steve Angel, raised full-year guidance, and a stock that has richly re-rated on both fundamentals and consolidation optionism. The bar is high: consensus expects high-single-digit revenue growth and double-digit EPS growth, an operating ratio near 63%, and continued margin expansion. Key swing factors for the print and stock reaction will be (1) whether cost discipline can absorb the flagged Q2 headwinds (no repeat real-estate gain, higher overhaul costs, incentive comp, elevated fuel), (2) network fluidity/service metrics as the productivity push continues, and (3) any incremental color on the UP-NS merger process given the imminent STB supplemental-information deadline.</w:t>
      </w:r>
    </w:p>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2026-07-22T00:38:49Z</dcterms:created>
  <dcterms:modified xsi:type="dcterms:W3CDTF">2026-07-22T00:38:49Z</dcterms:modified>
</cp:coreProperties>
</file>

<file path=docProps/custom.xml><?xml version="1.0" encoding="utf-8"?>
<Properties xmlns="http://schemas.openxmlformats.org/officeDocument/2006/custom-properties" xmlns:vt="http://schemas.openxmlformats.org/officeDocument/2006/docPropsVTypes"/>
</file>