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csx-2026-q2-earnings-preview"/>
    <w:p>
      <w:pPr>
        <w:pStyle w:val="Heading1"/>
      </w:pPr>
      <w:r>
        <w:t xml:space="preserve">CSX 2026 Q2 Earnings Preview</w:t>
      </w:r>
    </w:p>
    <w:p>
      <w:pPr>
        <w:pStyle w:val="BlockText"/>
      </w:pPr>
      <w:r>
        <w:rPr>
          <w:b/>
          <w:bCs/>
        </w:rPr>
        <w:t xml:space="preserve">Timing clarification:</w:t>
      </w:r>
      <w:r>
        <w:t xml:space="preserve"> </w:t>
      </w:r>
      <w:r>
        <w:t xml:space="preserve">CSX is scheduled to release results</w:t>
      </w:r>
      <w:r>
        <w:t xml:space="preserve"> </w:t>
      </w:r>
      <w:r>
        <w:rPr>
          <w:b/>
          <w:bCs/>
        </w:rPr>
        <w:t xml:space="preserve">today, Wednesday, July 22, 2026, after the market close</w:t>
      </w:r>
      <w:r>
        <w:t xml:space="preserve">, with its earnings call at</w:t>
      </w:r>
      <w:r>
        <w:t xml:space="preserve"> </w:t>
      </w:r>
      <w:r>
        <w:rPr>
          <w:b/>
          <w:bCs/>
        </w:rPr>
        <w:t xml:space="preserve">4:30 p.m. ET</w:t>
      </w:r>
      <w:r>
        <w:t xml:space="preserve">. That is today rather than tomorrow based on the current date.</w:t>
      </w:r>
    </w:p>
    <w:bookmarkStart w:id="9" w:name="at-a-glance"/>
    <w:p>
      <w:pPr>
        <w:pStyle w:val="Heading2"/>
      </w:pPr>
      <w:r>
        <w:t xml:space="preserve">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rPr>
                <w:b/>
                <w:bCs/>
              </w:rPr>
              <w:t xml:space="preserve">$3.85B</w:t>
            </w:r>
          </w:p>
        </w:tc>
        <w:tc>
          <w:tcPr/>
          <w:p>
            <w:pPr>
              <w:pStyle w:val="Compact"/>
              <w:jc w:val="right"/>
            </w:pPr>
            <w:r>
              <w:t xml:space="preserve">$3.57B</w:t>
            </w:r>
          </w:p>
        </w:tc>
        <w:tc>
          <w:tcPr/>
          <w:p>
            <w:pPr>
              <w:pStyle w:val="Compact"/>
              <w:jc w:val="right"/>
            </w:pPr>
            <w:r>
              <w:rPr>
                <w:b/>
                <w:bCs/>
              </w:rPr>
              <w:t xml:space="preserve">+7.7%</w:t>
            </w:r>
          </w:p>
        </w:tc>
      </w:tr>
      <w:tr>
        <w:tc>
          <w:tcPr/>
          <w:p>
            <w:pPr>
              <w:pStyle w:val="Compact"/>
            </w:pPr>
            <w:r>
              <w:t xml:space="preserve">EPS</w:t>
            </w:r>
          </w:p>
        </w:tc>
        <w:tc>
          <w:tcPr/>
          <w:p>
            <w:pPr>
              <w:pStyle w:val="Compact"/>
              <w:jc w:val="right"/>
            </w:pPr>
            <w:r>
              <w:rPr>
                <w:b/>
                <w:bCs/>
              </w:rPr>
              <w:t xml:space="preserve">$0.51</w:t>
            </w:r>
          </w:p>
        </w:tc>
        <w:tc>
          <w:tcPr/>
          <w:p>
            <w:pPr>
              <w:pStyle w:val="Compact"/>
              <w:jc w:val="right"/>
            </w:pPr>
            <w:r>
              <w:t xml:space="preserve">$0.44</w:t>
            </w:r>
          </w:p>
        </w:tc>
        <w:tc>
          <w:tcPr/>
          <w:p>
            <w:pPr>
              <w:pStyle w:val="Compact"/>
              <w:jc w:val="right"/>
            </w:pPr>
            <w:r>
              <w:rPr>
                <w:b/>
                <w:bCs/>
              </w:rPr>
              <w:t xml:space="preserve">+15.9%</w:t>
            </w:r>
          </w:p>
        </w:tc>
      </w:tr>
      <w:tr>
        <w:tc>
          <w:tcPr/>
          <w:p>
            <w:pPr>
              <w:pStyle w:val="Compact"/>
            </w:pPr>
            <w:r>
              <w:t xml:space="preserve">Adjusted operating ratio</w:t>
            </w:r>
          </w:p>
        </w:tc>
        <w:tc>
          <w:tcPr/>
          <w:p>
            <w:pPr>
              <w:pStyle w:val="Compact"/>
              <w:jc w:val="right"/>
            </w:pPr>
            <w:r>
              <w:rPr>
                <w:b/>
                <w:bCs/>
              </w:rPr>
              <w:t xml:space="preserve">63.2%</w:t>
            </w:r>
          </w:p>
        </w:tc>
        <w:tc>
          <w:tcPr/>
          <w:p>
            <w:pPr>
              <w:pStyle w:val="Compact"/>
              <w:jc w:val="right"/>
            </w:pPr>
            <w:r>
              <w:t xml:space="preserve">64.1% GAAP</w:t>
            </w:r>
          </w:p>
        </w:tc>
        <w:tc>
          <w:tcPr/>
          <w:p>
            <w:pPr>
              <w:pStyle w:val="Compact"/>
              <w:jc w:val="right"/>
            </w:pPr>
            <w:r>
              <w:t xml:space="preserve">~90 bps better</w:t>
            </w:r>
          </w:p>
        </w:tc>
      </w:tr>
      <w:tr>
        <w:tc>
          <w:tcPr/>
          <w:p>
            <w:pPr>
              <w:pStyle w:val="Compact"/>
            </w:pPr>
            <w:r>
              <w:t xml:space="preserve">Implied adjusted operating margin</w:t>
            </w:r>
          </w:p>
        </w:tc>
        <w:tc>
          <w:tcPr/>
          <w:p>
            <w:pPr>
              <w:pStyle w:val="Compact"/>
              <w:jc w:val="right"/>
            </w:pPr>
            <w:r>
              <w:rPr>
                <w:b/>
                <w:bCs/>
              </w:rPr>
              <w:t xml:space="preserve">36.8%</w:t>
            </w:r>
          </w:p>
        </w:tc>
        <w:tc>
          <w:tcPr/>
          <w:p>
            <w:pPr>
              <w:pStyle w:val="Compact"/>
              <w:jc w:val="right"/>
            </w:pPr>
            <w:r>
              <w:t xml:space="preserve">35.9% GAAP</w:t>
            </w:r>
          </w:p>
        </w:tc>
        <w:tc>
          <w:tcPr/>
          <w:p>
            <w:pPr>
              <w:pStyle w:val="Compact"/>
              <w:jc w:val="right"/>
            </w:pPr>
            <w:r>
              <w:t xml:space="preserve">~90 bps better</w:t>
            </w:r>
          </w:p>
        </w:tc>
      </w:tr>
    </w:tbl>
    <w:p>
      <w:pPr>
        <w:pStyle w:val="BodyText"/>
      </w:pPr>
      <w:r>
        <w:t xml:space="preserve">CSX enters the report with favorable freight trends, strong cost execution and significantly improved network performance. The principal complication is that higher fuel surcharges should boost reported revenue while making the operating-ratio comparison less flattering. Investors will therefore need to look beyond the headline top line and assess</w:t>
      </w:r>
      <w:r>
        <w:t xml:space="preserve"> </w:t>
      </w:r>
      <w:r>
        <w:rPr>
          <w:b/>
          <w:bCs/>
        </w:rPr>
        <w:t xml:space="preserve">core pricing, underlying volume and sustainable productivity</w:t>
      </w:r>
      <w:r>
        <w:t xml:space="preserve">.</w:t>
      </w:r>
    </w:p>
    <w:bookmarkEnd w:id="9"/>
    <w:bookmarkStart w:id="10" w:name="Xffd0302a077e413f2df14cee1c08f856faf4421"/>
    <w:p>
      <w:pPr>
        <w:pStyle w:val="Heading2"/>
      </w:pPr>
      <w:r>
        <w:t xml:space="preserve">Investment setup: expectations are no longer low</w:t>
      </w:r>
    </w:p>
    <w:p>
      <w:pPr>
        <w:pStyle w:val="FirstParagraph"/>
      </w:pPr>
      <w:r>
        <w:t xml:space="preserve">The stock closed at</w:t>
      </w:r>
      <w:r>
        <w:t xml:space="preserve"> </w:t>
      </w:r>
      <w:r>
        <w:rPr>
          <w:b/>
          <w:bCs/>
        </w:rPr>
        <w:t xml:space="preserve">$49.91 on July 21</w:t>
      </w:r>
      <w:r>
        <w:t xml:space="preserve">, up roughly</w:t>
      </w:r>
      <w:r>
        <w:t xml:space="preserve"> </w:t>
      </w:r>
      <w:r>
        <w:rPr>
          <w:b/>
          <w:bCs/>
        </w:rPr>
        <w:t xml:space="preserve">38% from the beginning of 2026</w:t>
      </w:r>
      <w:r>
        <w:t xml:space="preserve">. It also rallied sharply after the first-quarter report, when CSX delivered substantial expense reductions and raised its outlook.</w:t>
      </w:r>
    </w:p>
    <w:p>
      <w:pPr>
        <w:pStyle w:val="BodyText"/>
      </w:pPr>
      <w:r>
        <w:t xml:space="preserve">That creates a more demanding setup:</w:t>
      </w:r>
    </w:p>
    <w:p>
      <w:pPr>
        <w:pStyle w:val="Compact"/>
        <w:numPr>
          <w:ilvl w:val="0"/>
          <w:numId w:val="1001"/>
        </w:numPr>
      </w:pPr>
      <w:r>
        <w:t xml:space="preserve">A modest EPS beat alone may not be enough.</w:t>
      </w:r>
    </w:p>
    <w:p>
      <w:pPr>
        <w:pStyle w:val="Compact"/>
        <w:numPr>
          <w:ilvl w:val="0"/>
          <w:numId w:val="1001"/>
        </w:numPr>
      </w:pPr>
      <w:r>
        <w:t xml:space="preserve">The market will likely distinguish recurring productivity from fuel, real-estate gains and easy disruption comparisons.</w:t>
      </w:r>
    </w:p>
    <w:p>
      <w:pPr>
        <w:pStyle w:val="Compact"/>
        <w:numPr>
          <w:ilvl w:val="0"/>
          <w:numId w:val="1001"/>
        </w:numPr>
      </w:pPr>
      <w:r>
        <w:t xml:space="preserve">Guidance commentary may matter more than the reported quarter.</w:t>
      </w:r>
    </w:p>
    <w:p>
      <w:pPr>
        <w:pStyle w:val="Compact"/>
        <w:numPr>
          <w:ilvl w:val="0"/>
          <w:numId w:val="1001"/>
        </w:numPr>
      </w:pPr>
      <w:r>
        <w:t xml:space="preserve">Continued bullish sentiment around railroad consolidation and pricing power has increased the risk of a “good results, not good enough” reaction.</w:t>
      </w:r>
    </w:p>
    <w:p>
      <w:pPr>
        <w:pStyle w:val="FirstParagraph"/>
      </w:pPr>
      <w:r>
        <w:t xml:space="preserve">The core debate is whether the first quarter marked the beginning of a durable multiyear improvement under CEO Steve Angel—or whether the initial margin gains were unusually front-loaded.</w:t>
      </w:r>
    </w:p>
    <w:bookmarkEnd w:id="10"/>
    <w:bookmarkStart w:id="12" w:name="X594229cbe3be120480fa59387566d3ae006a2b9"/>
    <w:p>
      <w:pPr>
        <w:pStyle w:val="Heading2"/>
      </w:pPr>
      <w:r>
        <w:t xml:space="preserve">The most important issue: quality of the margin performance</w:t>
      </w:r>
    </w:p>
    <w:p>
      <w:pPr>
        <w:pStyle w:val="FirstParagraph"/>
      </w:pPr>
      <w:r>
        <w:t xml:space="preserve">First-quarter operating margin improved</w:t>
      </w:r>
      <w:r>
        <w:t xml:space="preserve"> </w:t>
      </w:r>
      <w:r>
        <w:rPr>
          <w:b/>
          <w:bCs/>
        </w:rPr>
        <w:t xml:space="preserve">560 basis points</w:t>
      </w:r>
      <w:r>
        <w:t xml:space="preserve"> </w:t>
      </w:r>
      <w:r>
        <w:t xml:space="preserve">to 36.0%, driven by a 6% decline in expenses despite higher volume and fuel prices. Management identified more than $100 million of efficiency savings, including lower headcount, reduced overtime, better asset utilization and broad reductions in purchased services.</w:t>
      </w:r>
    </w:p>
    <w:p>
      <w:pPr>
        <w:pStyle w:val="BodyText"/>
      </w:pPr>
      <w:r>
        <w:t xml:space="preserve">However, Q1 also benefited from:</w:t>
      </w:r>
    </w:p>
    <w:p>
      <w:pPr>
        <w:pStyle w:val="Compact"/>
        <w:numPr>
          <w:ilvl w:val="0"/>
          <w:numId w:val="1002"/>
        </w:numPr>
      </w:pPr>
      <w:r>
        <w:t xml:space="preserve">A</w:t>
      </w:r>
      <w:r>
        <w:t xml:space="preserve"> </w:t>
      </w:r>
      <w:r>
        <w:rPr>
          <w:b/>
          <w:bCs/>
        </w:rPr>
        <w:t xml:space="preserve">$44 million property-disposition gain</w:t>
      </w:r>
      <w:r>
        <w:t xml:space="preserve"> </w:t>
      </w:r>
      <w:r>
        <w:t xml:space="preserve">that is not expected to recur at the same level.</w:t>
      </w:r>
    </w:p>
    <w:p>
      <w:pPr>
        <w:pStyle w:val="Compact"/>
        <w:numPr>
          <w:ilvl w:val="0"/>
          <w:numId w:val="1002"/>
        </w:numPr>
      </w:pPr>
      <w:r>
        <w:t xml:space="preserve">Approximately</w:t>
      </w:r>
      <w:r>
        <w:t xml:space="preserve"> </w:t>
      </w:r>
      <w:r>
        <w:rPr>
          <w:b/>
          <w:bCs/>
        </w:rPr>
        <w:t xml:space="preserve">$20 million</w:t>
      </w:r>
      <w:r>
        <w:t xml:space="preserve"> </w:t>
      </w:r>
      <w:r>
        <w:t xml:space="preserve">from lapping prior-year network disruption and rerouting costs.</w:t>
      </w:r>
    </w:p>
    <w:p>
      <w:pPr>
        <w:pStyle w:val="Compact"/>
        <w:numPr>
          <w:ilvl w:val="0"/>
          <w:numId w:val="1002"/>
        </w:numPr>
      </w:pPr>
      <w:r>
        <w:t xml:space="preserve">Other prior-year expenses that did not recur.</w:t>
      </w:r>
    </w:p>
    <w:p>
      <w:pPr>
        <w:pStyle w:val="FirstParagraph"/>
      </w:pPr>
      <w:r>
        <w:t xml:space="preserve">Management has already warned that Q2 will include several sequential headwinds:</w:t>
      </w:r>
    </w:p>
    <w:p>
      <w:pPr>
        <w:pStyle w:val="Compact"/>
        <w:numPr>
          <w:ilvl w:val="0"/>
          <w:numId w:val="1003"/>
        </w:numPr>
      </w:pPr>
      <w:r>
        <w:t xml:space="preserve">Higher incentive compensation.</w:t>
      </w:r>
    </w:p>
    <w:p>
      <w:pPr>
        <w:pStyle w:val="Compact"/>
        <w:numPr>
          <w:ilvl w:val="0"/>
          <w:numId w:val="1003"/>
        </w:numPr>
      </w:pPr>
      <w:r>
        <w:t xml:space="preserve">Timing of locomotive overhaul expenses.</w:t>
      </w:r>
    </w:p>
    <w:p>
      <w:pPr>
        <w:pStyle w:val="Compact"/>
        <w:numPr>
          <w:ilvl w:val="0"/>
          <w:numId w:val="1003"/>
        </w:numPr>
      </w:pPr>
      <w:r>
        <w:t xml:space="preserve">Advisory and transaction costs related to industry consolidation.</w:t>
      </w:r>
    </w:p>
    <w:p>
      <w:pPr>
        <w:pStyle w:val="Compact"/>
        <w:numPr>
          <w:ilvl w:val="0"/>
          <w:numId w:val="1003"/>
        </w:numPr>
      </w:pPr>
      <w:r>
        <w:t xml:space="preserve">Higher fuel expense and associated operating-ratio pressure.</w:t>
      </w:r>
    </w:p>
    <w:p>
      <w:pPr>
        <w:pStyle w:val="Compact"/>
        <w:numPr>
          <w:ilvl w:val="0"/>
          <w:numId w:val="1003"/>
        </w:numPr>
      </w:pPr>
      <w:r>
        <w:t xml:space="preserve">No repeat of Q1’s large property gain.</w:t>
      </w:r>
    </w:p>
    <w:p>
      <w:pPr>
        <w:pStyle w:val="FirstParagraph"/>
      </w:pPr>
      <w:r>
        <w:t xml:space="preserve">Consensus therefore calls for only about</w:t>
      </w:r>
      <w:r>
        <w:t xml:space="preserve"> </w:t>
      </w:r>
      <w:r>
        <w:rPr>
          <w:b/>
          <w:bCs/>
        </w:rPr>
        <w:t xml:space="preserve">80 basis points of sequential operating-ratio improvement</w:t>
      </w:r>
      <w:r>
        <w:t xml:space="preserve">, from approximately 64.0% in Q1 to 63.2% in Q2, even though the second and third quarters are normally CSX’s strongest periods.</w:t>
      </w:r>
    </w:p>
    <w:bookmarkStart w:id="11" w:name="X99a976c48035ff6a57cde7f34497aef9d395cb0"/>
    <w:p>
      <w:pPr>
        <w:pStyle w:val="Heading3"/>
      </w:pPr>
      <w:r>
        <w:t xml:space="preserve">What would constitute a high-quality result?</w:t>
      </w:r>
    </w:p>
    <w:p>
      <w:pPr>
        <w:pStyle w:val="FirstParagraph"/>
      </w:pPr>
      <w:r>
        <w:t xml:space="preserve">An operating-ratio beat driven by lower labor, purchased-services or equipment costs would be much more encouraging than a beat driven by another asset gain or other nonrecurring item. Investors should look for disclosure on:</w:t>
      </w:r>
    </w:p>
    <w:p>
      <w:pPr>
        <w:pStyle w:val="Compact"/>
        <w:numPr>
          <w:ilvl w:val="0"/>
          <w:numId w:val="1004"/>
        </w:numPr>
      </w:pPr>
      <w:r>
        <w:t xml:space="preserve">Gross productivity savings.</w:t>
      </w:r>
    </w:p>
    <w:p>
      <w:pPr>
        <w:pStyle w:val="Compact"/>
        <w:numPr>
          <w:ilvl w:val="0"/>
          <w:numId w:val="1004"/>
        </w:numPr>
      </w:pPr>
      <w:r>
        <w:t xml:space="preserve">Inflation and labor-cost pressure.</w:t>
      </w:r>
    </w:p>
    <w:p>
      <w:pPr>
        <w:pStyle w:val="Compact"/>
        <w:numPr>
          <w:ilvl w:val="0"/>
          <w:numId w:val="1004"/>
        </w:numPr>
      </w:pPr>
      <w:r>
        <w:t xml:space="preserve">Headcount relative to volume.</w:t>
      </w:r>
    </w:p>
    <w:p>
      <w:pPr>
        <w:pStyle w:val="Compact"/>
        <w:numPr>
          <w:ilvl w:val="0"/>
          <w:numId w:val="1004"/>
        </w:numPr>
      </w:pPr>
      <w:r>
        <w:t xml:space="preserve">Property gains and insurance recoveries.</w:t>
      </w:r>
    </w:p>
    <w:p>
      <w:pPr>
        <w:pStyle w:val="Compact"/>
        <w:numPr>
          <w:ilvl w:val="0"/>
          <w:numId w:val="1004"/>
        </w:numPr>
      </w:pPr>
      <w:r>
        <w:t xml:space="preserve">Costs attributed to merger-related advisory work.</w:t>
      </w:r>
    </w:p>
    <w:p>
      <w:pPr>
        <w:pStyle w:val="Compact"/>
        <w:numPr>
          <w:ilvl w:val="0"/>
          <w:numId w:val="1004"/>
        </w:numPr>
      </w:pPr>
      <w:r>
        <w:t xml:space="preserve">Whether network improvements are translating into fewer recrews, lower car-hire expense and better asset turns.</w:t>
      </w:r>
    </w:p>
    <w:bookmarkEnd w:id="11"/>
    <w:bookmarkEnd w:id="12"/>
    <w:bookmarkStart w:id="13" w:name="Xf1cbc4c9363192dcd4ebdadfbaadc194f0e0f5d"/>
    <w:p>
      <w:pPr>
        <w:pStyle w:val="Heading2"/>
      </w:pPr>
      <w:r>
        <w:t xml:space="preserve">Revenue: strong headline growth, but fuel and mix matter</w:t>
      </w:r>
    </w:p>
    <w:p>
      <w:pPr>
        <w:pStyle w:val="FirstParagraph"/>
      </w:pPr>
      <w:r>
        <w:t xml:space="preserve">Consensus revenue growth of nearly 8% is well above Q1’s 2% increase. A substantial part of the acceleration should come from higher fuel-surcharge revenue rather than pure freight growth.</w:t>
      </w:r>
    </w:p>
    <w:p>
      <w:pPr>
        <w:pStyle w:val="BodyText"/>
      </w:pPr>
      <w:r>
        <w:t xml:space="preserve">CSX’s merchandise fuel surcharges generally operate with a two-month lag. This can temporarily create mismatches between fuel revenue and expense, and higher fuel revenue mechanically depresses the operating margin because it is largely pass-through revenue.</w:t>
      </w:r>
    </w:p>
    <w:p>
      <w:pPr>
        <w:pStyle w:val="BodyText"/>
      </w:pPr>
      <w:r>
        <w:t xml:space="preserve">The cleaner indicators will be:</w:t>
      </w:r>
    </w:p>
    <w:p>
      <w:pPr>
        <w:pStyle w:val="Compact"/>
        <w:numPr>
          <w:ilvl w:val="0"/>
          <w:numId w:val="1005"/>
        </w:numPr>
      </w:pPr>
      <w:r>
        <w:rPr>
          <w:b/>
          <w:bCs/>
        </w:rPr>
        <w:t xml:space="preserve">Volume excluding fuel effects.</w:t>
      </w:r>
    </w:p>
    <w:p>
      <w:pPr>
        <w:pStyle w:val="Compact"/>
        <w:numPr>
          <w:ilvl w:val="0"/>
          <w:numId w:val="1005"/>
        </w:numPr>
      </w:pPr>
      <w:r>
        <w:rPr>
          <w:b/>
          <w:bCs/>
        </w:rPr>
        <w:t xml:space="preserve">Same-store merchandise pricing.</w:t>
      </w:r>
    </w:p>
    <w:p>
      <w:pPr>
        <w:pStyle w:val="Compact"/>
        <w:numPr>
          <w:ilvl w:val="0"/>
          <w:numId w:val="1005"/>
        </w:numPr>
      </w:pPr>
      <w:r>
        <w:t xml:space="preserve">Revenue per unit by business.</w:t>
      </w:r>
    </w:p>
    <w:p>
      <w:pPr>
        <w:pStyle w:val="Compact"/>
        <w:numPr>
          <w:ilvl w:val="0"/>
          <w:numId w:val="1005"/>
        </w:numPr>
      </w:pPr>
      <w:r>
        <w:t xml:space="preserve">Core revenue growth excluding fuel and ancillary revenue.</w:t>
      </w:r>
    </w:p>
    <w:p>
      <w:pPr>
        <w:pStyle w:val="Compact"/>
        <w:numPr>
          <w:ilvl w:val="0"/>
          <w:numId w:val="1005"/>
        </w:numPr>
      </w:pPr>
      <w:r>
        <w:t xml:space="preserve">Whether pricing is covering inflation.</w:t>
      </w:r>
    </w:p>
    <w:p>
      <w:pPr>
        <w:pStyle w:val="FirstParagraph"/>
      </w:pPr>
      <w:r>
        <w:t xml:space="preserve">Management has said 2026 same-store pricing should improve from 2025, but only roughly half of the contract book can be repriced in a typical year. Evidence that improved service is supporting stronger renewals would be an important positive for 2027.</w:t>
      </w:r>
    </w:p>
    <w:bookmarkEnd w:id="13"/>
    <w:bookmarkStart w:id="19" w:name="business-line-expectations"/>
    <w:p>
      <w:pPr>
        <w:pStyle w:val="Heading2"/>
      </w:pPr>
      <w:r>
        <w:t xml:space="preserve">Business-line expectations</w:t>
      </w:r>
    </w:p>
    <w:bookmarkStart w:id="14" w:name="X5dfed7c39cacfbfc9991e33aec4c32c3356e70a"/>
    <w:p>
      <w:pPr>
        <w:pStyle w:val="Heading3"/>
      </w:pPr>
      <w:r>
        <w:t xml:space="preserve">Intermodal: likely the principal growth engine</w:t>
      </w:r>
    </w:p>
    <w:p>
      <w:pPr>
        <w:pStyle w:val="FirstParagraph"/>
      </w:pPr>
      <w:r>
        <w:t xml:space="preserve">Intermodal volume rose 6% in Q1, led by domestic customer wins and new services. The backdrop remained favorable entering Q2:</w:t>
      </w:r>
    </w:p>
    <w:p>
      <w:pPr>
        <w:pStyle w:val="Compact"/>
        <w:numPr>
          <w:ilvl w:val="0"/>
          <w:numId w:val="1006"/>
        </w:numPr>
      </w:pPr>
      <w:r>
        <w:t xml:space="preserve">Tighter truck capacity.</w:t>
      </w:r>
    </w:p>
    <w:p>
      <w:pPr>
        <w:pStyle w:val="Compact"/>
        <w:numPr>
          <w:ilvl w:val="0"/>
          <w:numId w:val="1006"/>
        </w:numPr>
      </w:pPr>
      <w:r>
        <w:t xml:space="preserve">Higher diesel costs, improving rail’s relative economics.</w:t>
      </w:r>
    </w:p>
    <w:p>
      <w:pPr>
        <w:pStyle w:val="Compact"/>
        <w:numPr>
          <w:ilvl w:val="0"/>
          <w:numId w:val="1006"/>
        </w:numPr>
      </w:pPr>
      <w:r>
        <w:t xml:space="preserve">New domestic business in the Southeast.</w:t>
      </w:r>
    </w:p>
    <w:p>
      <w:pPr>
        <w:pStyle w:val="Compact"/>
        <w:numPr>
          <w:ilvl w:val="0"/>
          <w:numId w:val="1006"/>
        </w:numPr>
      </w:pPr>
      <w:r>
        <w:t xml:space="preserve">Faster service offerings.</w:t>
      </w:r>
    </w:p>
    <w:p>
      <w:pPr>
        <w:pStyle w:val="Compact"/>
        <w:numPr>
          <w:ilvl w:val="0"/>
          <w:numId w:val="1006"/>
        </w:numPr>
      </w:pPr>
      <w:r>
        <w:t xml:space="preserve">Strong terminal execution despite higher volumes.</w:t>
      </w:r>
    </w:p>
    <w:p>
      <w:pPr>
        <w:pStyle w:val="FirstParagraph"/>
      </w:pPr>
      <w:r>
        <w:t xml:space="preserve">There are two qualifications. First, international intermodal faced difficult comparisons and softer import trends. Second, growth in shorter-haul inland-port traffic can dilute revenue per unit even when the underlying business is attractive.</w:t>
      </w:r>
    </w:p>
    <w:p>
      <w:pPr>
        <w:pStyle w:val="BodyText"/>
      </w:pPr>
      <w:r>
        <w:t xml:space="preserve">The Howard Street Tunnel is strategically significant but should not be treated as a major Q2 earnings contributor. CSX has begun running double-stack trains through the corridor and believes the project could eventually add</w:t>
      </w:r>
      <w:r>
        <w:t xml:space="preserve"> </w:t>
      </w:r>
      <w:r>
        <w:rPr>
          <w:b/>
          <w:bCs/>
        </w:rPr>
        <w:t xml:space="preserve">75,000–125,000 intermodal loads</w:t>
      </w:r>
      <w:r>
        <w:t xml:space="preserve">, but management expects the ramp to take two or three customer bid cycles.</w:t>
      </w:r>
    </w:p>
    <w:p>
      <w:pPr>
        <w:pStyle w:val="BodyText"/>
      </w:pPr>
      <w:r>
        <w:rPr>
          <w:b/>
          <w:bCs/>
        </w:rPr>
        <w:t xml:space="preserve">What to watch:</w:t>
      </w:r>
      <w:r>
        <w:t xml:space="preserve"> </w:t>
      </w:r>
      <w:r>
        <w:t xml:space="preserve">domestic versus international volume, revenue per unit, terminal costs and commentary on conversion from truck.</w:t>
      </w:r>
    </w:p>
    <w:bookmarkEnd w:id="14"/>
    <w:bookmarkStart w:id="15" w:name="chemicals-favorable-energy-economics"/>
    <w:p>
      <w:pPr>
        <w:pStyle w:val="Heading3"/>
      </w:pPr>
      <w:r>
        <w:t xml:space="preserve">Chemicals: favorable energy economics</w:t>
      </w:r>
    </w:p>
    <w:p>
      <w:pPr>
        <w:pStyle w:val="FirstParagraph"/>
      </w:pPr>
      <w:r>
        <w:t xml:space="preserve">Chemicals should be one of the stronger merchandise categories. U.S. producers have benefited from relatively advantaged natural-gas feedstock costs, while global supply disruptions have supported domestic plastics production.</w:t>
      </w:r>
    </w:p>
    <w:p>
      <w:pPr>
        <w:pStyle w:val="BodyText"/>
      </w:pPr>
      <w:r>
        <w:t xml:space="preserve">Q1 chemical volume rose 1% and revenue increased 3%. Management subsequently described trends as stronger, with potential demand from both domestic and international customers.</w:t>
      </w:r>
    </w:p>
    <w:p>
      <w:pPr>
        <w:pStyle w:val="BodyText"/>
      </w:pPr>
      <w:r>
        <w:rPr>
          <w:b/>
          <w:bCs/>
        </w:rPr>
        <w:t xml:space="preserve">Risk:</w:t>
      </w:r>
      <w:r>
        <w:t xml:space="preserve"> </w:t>
      </w:r>
      <w:r>
        <w:t xml:space="preserve">The improvement may prove temporary if global chemical supply normalizes or end demand weakens.</w:t>
      </w:r>
    </w:p>
    <w:bookmarkEnd w:id="15"/>
    <w:bookmarkStart w:id="16" w:name="Xb4a91f9d76f917e6e85b12ef411ec66af0eacee"/>
    <w:p>
      <w:pPr>
        <w:pStyle w:val="Heading3"/>
      </w:pPr>
      <w:r>
        <w:t xml:space="preserve">Minerals and metals: infrastructure support</w:t>
      </w:r>
    </w:p>
    <w:p>
      <w:pPr>
        <w:pStyle w:val="FirstParagraph"/>
      </w:pPr>
      <w:r>
        <w:t xml:space="preserve">Infrastructure activity continues to support aggregates, cement, construction steel and pipe. Q1 minerals volume increased 4%, while metals revenue rose 5% despite flat volume.</w:t>
      </w:r>
    </w:p>
    <w:p>
      <w:pPr>
        <w:pStyle w:val="BodyText"/>
      </w:pPr>
      <w:r>
        <w:t xml:space="preserve">CSX has also highlighted activity tied to LNG and other energy infrastructure projects. These commodities generally fit efficiently into the network and could provide favorable incremental margins if CSX can handle additional carloads without comparable headcount growth.</w:t>
      </w:r>
    </w:p>
    <w:bookmarkEnd w:id="16"/>
    <w:bookmarkStart w:id="17" w:name="X0dc6847f6d4fe9181f1744781d698c584b7e00c"/>
    <w:p>
      <w:pPr>
        <w:pStyle w:val="Heading3"/>
      </w:pPr>
      <w:r>
        <w:t xml:space="preserve">Coal: domestic strength versus export pricing</w:t>
      </w:r>
    </w:p>
    <w:p>
      <w:pPr>
        <w:pStyle w:val="FirstParagraph"/>
      </w:pPr>
      <w:r>
        <w:t xml:space="preserve">Domestic utility coal has benefited from strong electricity demand, data-center-related power consumption and favorable weather-driven demand. Reopened mines also provide volume opportunities.</w:t>
      </w:r>
    </w:p>
    <w:p>
      <w:pPr>
        <w:pStyle w:val="BodyText"/>
      </w:pPr>
      <w:r>
        <w:t xml:space="preserve">Export coal remains more complicated:</w:t>
      </w:r>
    </w:p>
    <w:p>
      <w:pPr>
        <w:pStyle w:val="Compact"/>
        <w:numPr>
          <w:ilvl w:val="0"/>
          <w:numId w:val="1007"/>
        </w:numPr>
      </w:pPr>
      <w:r>
        <w:t xml:space="preserve">Metallurgical coal benchmarks are still below earlier levels.</w:t>
      </w:r>
    </w:p>
    <w:p>
      <w:pPr>
        <w:pStyle w:val="Compact"/>
        <w:numPr>
          <w:ilvl w:val="0"/>
          <w:numId w:val="1007"/>
        </w:numPr>
      </w:pPr>
      <w:r>
        <w:t xml:space="preserve">Global steel demand remains uneven.</w:t>
      </w:r>
    </w:p>
    <w:p>
      <w:pPr>
        <w:pStyle w:val="Compact"/>
        <w:numPr>
          <w:ilvl w:val="0"/>
          <w:numId w:val="1007"/>
        </w:numPr>
      </w:pPr>
      <w:r>
        <w:t xml:space="preserve">Lower benchmark prices can reduce revenue per unit.</w:t>
      </w:r>
    </w:p>
    <w:p>
      <w:pPr>
        <w:pStyle w:val="Compact"/>
        <w:numPr>
          <w:ilvl w:val="0"/>
          <w:numId w:val="1007"/>
        </w:numPr>
      </w:pPr>
      <w:r>
        <w:t xml:space="preserve">Mine and terminal operating conditions can create quarterly volatility.</w:t>
      </w:r>
    </w:p>
    <w:p>
      <w:pPr>
        <w:pStyle w:val="FirstParagraph"/>
      </w:pPr>
      <w:r>
        <w:t xml:space="preserve">The year-over-year export pricing headwind should gradually become less severe if benchmark prices remain stable. Investors should focus separately on domestic tonnage, export tonnage and coal revenue per unit rather than treating coal as a single business.</w:t>
      </w:r>
    </w:p>
    <w:bookmarkEnd w:id="17"/>
    <w:bookmarkStart w:id="18" w:name="X9c1f93bb1d3a8c73008f3785c45fc3a9b3ad9a5"/>
    <w:p>
      <w:pPr>
        <w:pStyle w:val="Heading3"/>
      </w:pPr>
      <w:r>
        <w:t xml:space="preserve">Forest products and automotive: continuing weak spots</w:t>
      </w:r>
    </w:p>
    <w:p>
      <w:pPr>
        <w:pStyle w:val="FirstParagraph"/>
      </w:pPr>
      <w:r>
        <w:t xml:space="preserve">Forest products remain exposed to weak housing activity and prior mill closures. Q1 volume fell 9%, and management had not seen a meaningful housing recovery as of its May investor conference.</w:t>
      </w:r>
    </w:p>
    <w:p>
      <w:pPr>
        <w:pStyle w:val="BodyText"/>
      </w:pPr>
      <w:r>
        <w:t xml:space="preserve">Automotive faces lower North American production and an extended retooling outage at a major customer plant on the CSX network. These are likely to remain material offsets to strength elsewhere.</w:t>
      </w:r>
    </w:p>
    <w:bookmarkEnd w:id="18"/>
    <w:bookmarkEnd w:id="19"/>
    <w:bookmarkStart w:id="20" w:name="X98b17f4ce0761bf1389846601a4e4453ffae961"/>
    <w:p>
      <w:pPr>
        <w:pStyle w:val="Heading2"/>
      </w:pPr>
      <w:r>
        <w:t xml:space="preserve">Network performance is central to the thesis</w:t>
      </w:r>
    </w:p>
    <w:p>
      <w:pPr>
        <w:pStyle w:val="FirstParagraph"/>
      </w:pPr>
      <w:r>
        <w:t xml:space="preserve">Q1 showed meaningful operational improvement:</w:t>
      </w:r>
    </w:p>
    <w:p>
      <w:pPr>
        <w:pStyle w:val="Compact"/>
        <w:numPr>
          <w:ilvl w:val="0"/>
          <w:numId w:val="1008"/>
        </w:numPr>
      </w:pPr>
      <w:r>
        <w:t xml:space="preserve">Train velocity improved</w:t>
      </w:r>
      <w:r>
        <w:t xml:space="preserve"> </w:t>
      </w:r>
      <w:r>
        <w:rPr>
          <w:b/>
          <w:bCs/>
        </w:rPr>
        <w:t xml:space="preserve">7%</w:t>
      </w:r>
      <w:r>
        <w:t xml:space="preserve">.</w:t>
      </w:r>
    </w:p>
    <w:p>
      <w:pPr>
        <w:pStyle w:val="Compact"/>
        <w:numPr>
          <w:ilvl w:val="0"/>
          <w:numId w:val="1008"/>
        </w:numPr>
      </w:pPr>
      <w:r>
        <w:t xml:space="preserve">Dwell improved</w:t>
      </w:r>
      <w:r>
        <w:t xml:space="preserve"> </w:t>
      </w:r>
      <w:r>
        <w:rPr>
          <w:b/>
          <w:bCs/>
        </w:rPr>
        <w:t xml:space="preserve">7%</w:t>
      </w:r>
      <w:r>
        <w:t xml:space="preserve">.</w:t>
      </w:r>
    </w:p>
    <w:p>
      <w:pPr>
        <w:pStyle w:val="Compact"/>
        <w:numPr>
          <w:ilvl w:val="0"/>
          <w:numId w:val="1008"/>
        </w:numPr>
      </w:pPr>
      <w:r>
        <w:t xml:space="preserve">Cars online declined</w:t>
      </w:r>
      <w:r>
        <w:t xml:space="preserve"> </w:t>
      </w:r>
      <w:r>
        <w:rPr>
          <w:b/>
          <w:bCs/>
        </w:rPr>
        <w:t xml:space="preserve">6%</w:t>
      </w:r>
      <w:r>
        <w:t xml:space="preserve">.</w:t>
      </w:r>
    </w:p>
    <w:p>
      <w:pPr>
        <w:pStyle w:val="Compact"/>
        <w:numPr>
          <w:ilvl w:val="0"/>
          <w:numId w:val="1008"/>
        </w:numPr>
      </w:pPr>
      <w:r>
        <w:t xml:space="preserve">Carload trip-plan performance improved</w:t>
      </w:r>
      <w:r>
        <w:t xml:space="preserve"> </w:t>
      </w:r>
      <w:r>
        <w:rPr>
          <w:b/>
          <w:bCs/>
        </w:rPr>
        <w:t xml:space="preserve">7%</w:t>
      </w:r>
      <w:r>
        <w:t xml:space="preserve">.</w:t>
      </w:r>
    </w:p>
    <w:p>
      <w:pPr>
        <w:pStyle w:val="Compact"/>
        <w:numPr>
          <w:ilvl w:val="0"/>
          <w:numId w:val="1008"/>
        </w:numPr>
      </w:pPr>
      <w:r>
        <w:t xml:space="preserve">On-time arrivals improved</w:t>
      </w:r>
      <w:r>
        <w:t xml:space="preserve"> </w:t>
      </w:r>
      <w:r>
        <w:rPr>
          <w:b/>
          <w:bCs/>
        </w:rPr>
        <w:t xml:space="preserve">11%</w:t>
      </w:r>
      <w:r>
        <w:t xml:space="preserve">.</w:t>
      </w:r>
    </w:p>
    <w:p>
      <w:pPr>
        <w:pStyle w:val="Compact"/>
        <w:numPr>
          <w:ilvl w:val="0"/>
          <w:numId w:val="1008"/>
        </w:numPr>
      </w:pPr>
      <w:r>
        <w:t xml:space="preserve">Fuel efficiency improved</w:t>
      </w:r>
      <w:r>
        <w:t xml:space="preserve"> </w:t>
      </w:r>
      <w:r>
        <w:rPr>
          <w:b/>
          <w:bCs/>
        </w:rPr>
        <w:t xml:space="preserve">2%</w:t>
      </w:r>
      <w:r>
        <w:t xml:space="preserve">.</w:t>
      </w:r>
    </w:p>
    <w:p>
      <w:pPr>
        <w:pStyle w:val="Compact"/>
        <w:numPr>
          <w:ilvl w:val="0"/>
          <w:numId w:val="1008"/>
        </w:numPr>
      </w:pPr>
      <w:r>
        <w:t xml:space="preserve">The train accident rate improved</w:t>
      </w:r>
      <w:r>
        <w:t xml:space="preserve"> </w:t>
      </w:r>
      <w:r>
        <w:rPr>
          <w:b/>
          <w:bCs/>
        </w:rPr>
        <w:t xml:space="preserve">31%</w:t>
      </w:r>
      <w:r>
        <w:t xml:space="preserve">.</w:t>
      </w:r>
    </w:p>
    <w:p>
      <w:pPr>
        <w:pStyle w:val="FirstParagraph"/>
      </w:pPr>
      <w:r>
        <w:t xml:space="preserve">Management subsequently indicated that velocity and dwell remained better year over year, while the network handled some of its strongest weekly volume levels in years.</w:t>
      </w:r>
    </w:p>
    <w:p>
      <w:pPr>
        <w:pStyle w:val="BodyText"/>
      </w:pPr>
      <w:r>
        <w:t xml:space="preserve">The key question is whether CSX maintained those gains as volume increased. A better railroad should create a virtuous cycle:</w:t>
      </w:r>
    </w:p>
    <w:p>
      <w:pPr>
        <w:pStyle w:val="Compact"/>
        <w:numPr>
          <w:ilvl w:val="0"/>
          <w:numId w:val="1009"/>
        </w:numPr>
      </w:pPr>
      <w:r>
        <w:t xml:space="preserve">Improved service wins freight from truck and other railroads.</w:t>
      </w:r>
    </w:p>
    <w:p>
      <w:pPr>
        <w:pStyle w:val="Compact"/>
        <w:numPr>
          <w:ilvl w:val="0"/>
          <w:numId w:val="1009"/>
        </w:numPr>
      </w:pPr>
      <w:r>
        <w:t xml:space="preserve">Higher velocity reduces equipment and crew requirements.</w:t>
      </w:r>
    </w:p>
    <w:p>
      <w:pPr>
        <w:pStyle w:val="Compact"/>
        <w:numPr>
          <w:ilvl w:val="0"/>
          <w:numId w:val="1009"/>
        </w:numPr>
      </w:pPr>
      <w:r>
        <w:t xml:space="preserve">Better asset utilization lowers incremental costs.</w:t>
      </w:r>
    </w:p>
    <w:p>
      <w:pPr>
        <w:pStyle w:val="Compact"/>
        <w:numPr>
          <w:ilvl w:val="0"/>
          <w:numId w:val="1009"/>
        </w:numPr>
      </w:pPr>
      <w:r>
        <w:t xml:space="preserve">Improved service supports stronger pricing.</w:t>
      </w:r>
    </w:p>
    <w:p>
      <w:pPr>
        <w:pStyle w:val="Compact"/>
        <w:numPr>
          <w:ilvl w:val="0"/>
          <w:numId w:val="1009"/>
        </w:numPr>
      </w:pPr>
      <w:r>
        <w:t xml:space="preserve">Higher free cash flow permits buybacks without excessive leverage.</w:t>
      </w:r>
    </w:p>
    <w:p>
      <w:pPr>
        <w:pStyle w:val="FirstParagraph"/>
      </w:pPr>
      <w:r>
        <w:t xml:space="preserve">A result in which volume is strong but dwell and cars online deteriorate would raise doubts about the scalability of recent improvements.</w:t>
      </w:r>
    </w:p>
    <w:bookmarkEnd w:id="20"/>
    <w:bookmarkStart w:id="23" w:name="X9f4937daca818f3793a56cabe1c8e718e61082a"/>
    <w:p>
      <w:pPr>
        <w:pStyle w:val="Heading2"/>
      </w:pPr>
      <w:r>
        <w:t xml:space="preserve">Guidance is the likely share-price driver</w:t>
      </w:r>
    </w:p>
    <w:p>
      <w:pPr>
        <w:pStyle w:val="FirstParagraph"/>
      </w:pPr>
      <w:r>
        <w:t xml:space="preserve">CSX’s current 2026 framework calls for:</w:t>
      </w:r>
    </w:p>
    <w:p>
      <w:pPr>
        <w:pStyle w:val="Compact"/>
        <w:numPr>
          <w:ilvl w:val="0"/>
          <w:numId w:val="1010"/>
        </w:numPr>
      </w:pPr>
      <w:r>
        <w:rPr>
          <w:b/>
          <w:bCs/>
        </w:rPr>
        <w:t xml:space="preserve">Mid-single-digit revenue growth</w:t>
      </w:r>
      <w:r>
        <w:t xml:space="preserve">, raised from low single digits, principally due to fuel.</w:t>
      </w:r>
    </w:p>
    <w:p>
      <w:pPr>
        <w:pStyle w:val="Compact"/>
        <w:numPr>
          <w:ilvl w:val="0"/>
          <w:numId w:val="1010"/>
        </w:numPr>
      </w:pPr>
      <w:r>
        <w:rPr>
          <w:b/>
          <w:bCs/>
        </w:rPr>
        <w:t xml:space="preserve">200–300 basis points of operating-margin expansion</w:t>
      </w:r>
      <w:r>
        <w:t xml:space="preserve">, with results expected toward the high end.</w:t>
      </w:r>
    </w:p>
    <w:p>
      <w:pPr>
        <w:pStyle w:val="Compact"/>
        <w:numPr>
          <w:ilvl w:val="0"/>
          <w:numId w:val="1010"/>
        </w:numPr>
      </w:pPr>
      <w:r>
        <w:t xml:space="preserve">Capital expenditures of</w:t>
      </w:r>
      <w:r>
        <w:t xml:space="preserve"> </w:t>
      </w:r>
      <w:r>
        <w:rPr>
          <w:b/>
          <w:bCs/>
        </w:rPr>
        <w:t xml:space="preserve">less than $2.4 billion</w:t>
      </w:r>
      <w:r>
        <w:t xml:space="preserve">.</w:t>
      </w:r>
    </w:p>
    <w:p>
      <w:pPr>
        <w:pStyle w:val="Compact"/>
        <w:numPr>
          <w:ilvl w:val="0"/>
          <w:numId w:val="1010"/>
        </w:numPr>
      </w:pPr>
      <w:r>
        <w:t xml:space="preserve">Free-cash-flow growth of</w:t>
      </w:r>
      <w:r>
        <w:t xml:space="preserve"> </w:t>
      </w:r>
      <w:r>
        <w:rPr>
          <w:b/>
          <w:bCs/>
        </w:rPr>
        <w:t xml:space="preserve">more than 60%</w:t>
      </w:r>
      <w:r>
        <w:t xml:space="preserve"> </w:t>
      </w:r>
      <w:r>
        <w:t xml:space="preserve">from 2025.</w:t>
      </w:r>
    </w:p>
    <w:bookmarkStart w:id="21" w:name="the-bullish-outcome"/>
    <w:p>
      <w:pPr>
        <w:pStyle w:val="Heading3"/>
      </w:pPr>
      <w:r>
        <w:t xml:space="preserve">The bullish outcome</w:t>
      </w:r>
    </w:p>
    <w:p>
      <w:pPr>
        <w:pStyle w:val="FirstParagraph"/>
      </w:pPr>
      <w:r>
        <w:t xml:space="preserve">The most constructive scenario would include:</w:t>
      </w:r>
    </w:p>
    <w:p>
      <w:pPr>
        <w:pStyle w:val="Compact"/>
        <w:numPr>
          <w:ilvl w:val="0"/>
          <w:numId w:val="1011"/>
        </w:numPr>
      </w:pPr>
      <w:r>
        <w:t xml:space="preserve">A modest EPS and operating-ratio beat.</w:t>
      </w:r>
    </w:p>
    <w:p>
      <w:pPr>
        <w:pStyle w:val="Compact"/>
        <w:numPr>
          <w:ilvl w:val="0"/>
          <w:numId w:val="1011"/>
        </w:numPr>
      </w:pPr>
      <w:r>
        <w:t xml:space="preserve">Strong domestic intermodal and chemicals volume.</w:t>
      </w:r>
    </w:p>
    <w:p>
      <w:pPr>
        <w:pStyle w:val="Compact"/>
        <w:numPr>
          <w:ilvl w:val="0"/>
          <w:numId w:val="1011"/>
        </w:numPr>
      </w:pPr>
      <w:r>
        <w:t xml:space="preserve">Core pricing above inflation.</w:t>
      </w:r>
    </w:p>
    <w:p>
      <w:pPr>
        <w:pStyle w:val="Compact"/>
        <w:numPr>
          <w:ilvl w:val="0"/>
          <w:numId w:val="1011"/>
        </w:numPr>
      </w:pPr>
      <w:r>
        <w:t xml:space="preserve">Recurring cost reductions despite the expected Q2 headwinds.</w:t>
      </w:r>
    </w:p>
    <w:p>
      <w:pPr>
        <w:pStyle w:val="Compact"/>
        <w:numPr>
          <w:ilvl w:val="0"/>
          <w:numId w:val="1011"/>
        </w:numPr>
      </w:pPr>
      <w:r>
        <w:t xml:space="preserve">Stable or improving service metrics.</w:t>
      </w:r>
    </w:p>
    <w:p>
      <w:pPr>
        <w:pStyle w:val="Compact"/>
        <w:numPr>
          <w:ilvl w:val="0"/>
          <w:numId w:val="1011"/>
        </w:numPr>
      </w:pPr>
      <w:r>
        <w:t xml:space="preserve">Reaffirmation of high-end margin guidance.</w:t>
      </w:r>
    </w:p>
    <w:p>
      <w:pPr>
        <w:pStyle w:val="Compact"/>
        <w:numPr>
          <w:ilvl w:val="0"/>
          <w:numId w:val="1011"/>
        </w:numPr>
      </w:pPr>
      <w:r>
        <w:t xml:space="preserve">Confidence in further productivity gains during 2027.</w:t>
      </w:r>
    </w:p>
    <w:p>
      <w:pPr>
        <w:pStyle w:val="Compact"/>
        <w:numPr>
          <w:ilvl w:val="0"/>
          <w:numId w:val="1011"/>
        </w:numPr>
      </w:pPr>
      <w:r>
        <w:t xml:space="preserve">Stronger free-cash-flow or capital-return commentary.</w:t>
      </w:r>
    </w:p>
    <w:bookmarkEnd w:id="21"/>
    <w:bookmarkStart w:id="22" w:name="the-bearish-outcome"/>
    <w:p>
      <w:pPr>
        <w:pStyle w:val="Heading3"/>
      </w:pPr>
      <w:r>
        <w:t xml:space="preserve">The bearish outcome</w:t>
      </w:r>
    </w:p>
    <w:p>
      <w:pPr>
        <w:pStyle w:val="FirstParagraph"/>
      </w:pPr>
      <w:r>
        <w:t xml:space="preserve">The principal downside scenario would be:</w:t>
      </w:r>
    </w:p>
    <w:p>
      <w:pPr>
        <w:pStyle w:val="Compact"/>
        <w:numPr>
          <w:ilvl w:val="0"/>
          <w:numId w:val="1012"/>
        </w:numPr>
      </w:pPr>
      <w:r>
        <w:t xml:space="preserve">Revenue meets expectations primarily because of fuel.</w:t>
      </w:r>
    </w:p>
    <w:p>
      <w:pPr>
        <w:pStyle w:val="Compact"/>
        <w:numPr>
          <w:ilvl w:val="0"/>
          <w:numId w:val="1012"/>
        </w:numPr>
      </w:pPr>
      <w:r>
        <w:t xml:space="preserve">Revenue per unit is pressured by intermodal mix and export coal.</w:t>
      </w:r>
    </w:p>
    <w:p>
      <w:pPr>
        <w:pStyle w:val="Compact"/>
        <w:numPr>
          <w:ilvl w:val="0"/>
          <w:numId w:val="1012"/>
        </w:numPr>
      </w:pPr>
      <w:r>
        <w:t xml:space="preserve">Q1 cost savings prove difficult to sustain.</w:t>
      </w:r>
    </w:p>
    <w:p>
      <w:pPr>
        <w:pStyle w:val="Compact"/>
        <w:numPr>
          <w:ilvl w:val="0"/>
          <w:numId w:val="1012"/>
        </w:numPr>
      </w:pPr>
      <w:r>
        <w:t xml:space="preserve">Incentive compensation, locomotive work and advisory costs push the operating ratio above expectations.</w:t>
      </w:r>
    </w:p>
    <w:p>
      <w:pPr>
        <w:pStyle w:val="Compact"/>
        <w:numPr>
          <w:ilvl w:val="0"/>
          <w:numId w:val="1012"/>
        </w:numPr>
      </w:pPr>
      <w:r>
        <w:t xml:space="preserve">Service weakens as volume rises.</w:t>
      </w:r>
    </w:p>
    <w:p>
      <w:pPr>
        <w:pStyle w:val="Compact"/>
        <w:numPr>
          <w:ilvl w:val="0"/>
          <w:numId w:val="1012"/>
        </w:numPr>
      </w:pPr>
      <w:r>
        <w:t xml:space="preserve">Management backs away from the high end of its margin outlook.</w:t>
      </w:r>
    </w:p>
    <w:p>
      <w:pPr>
        <w:pStyle w:val="Compact"/>
        <w:numPr>
          <w:ilvl w:val="0"/>
          <w:numId w:val="1012"/>
        </w:numPr>
      </w:pPr>
      <w:r>
        <w:t xml:space="preserve">Full-year free-cash-flow guidance depends heavily on property sales or working-capital timing.</w:t>
      </w:r>
    </w:p>
    <w:bookmarkEnd w:id="22"/>
    <w:bookmarkEnd w:id="23"/>
    <w:bookmarkStart w:id="24" w:name="capital-allocation"/>
    <w:p>
      <w:pPr>
        <w:pStyle w:val="Heading2"/>
      </w:pPr>
      <w:r>
        <w:t xml:space="preserve">Capital allocation</w:t>
      </w:r>
    </w:p>
    <w:p>
      <w:pPr>
        <w:pStyle w:val="FirstParagraph"/>
      </w:pPr>
      <w:r>
        <w:t xml:space="preserve">CSX generated</w:t>
      </w:r>
      <w:r>
        <w:t xml:space="preserve"> </w:t>
      </w:r>
      <w:r>
        <w:rPr>
          <w:b/>
          <w:bCs/>
        </w:rPr>
        <w:t xml:space="preserve">$793 million of free cash flow before dividends in Q1</w:t>
      </w:r>
      <w:r>
        <w:t xml:space="preserve">, up from $559 million a year earlier, helped by stronger earnings and lower capital spending. Management sees a multiyear opportunity to make maintenance capital more data-driven and improve free-cash-flow conversion.</w:t>
      </w:r>
    </w:p>
    <w:p>
      <w:pPr>
        <w:pStyle w:val="BodyText"/>
      </w:pPr>
      <w:r>
        <w:t xml:space="preserve">The board added</w:t>
      </w:r>
      <w:r>
        <w:t xml:space="preserve"> </w:t>
      </w:r>
      <w:r>
        <w:rPr>
          <w:b/>
          <w:bCs/>
        </w:rPr>
        <w:t xml:space="preserve">$5 billion</w:t>
      </w:r>
      <w:r>
        <w:t xml:space="preserve"> </w:t>
      </w:r>
      <w:r>
        <w:t xml:space="preserve">of repurchase authorization in May, on top of approximately $989 million remaining at the end of Q1. However, CFO Kevin Boone has also indicated that leverage near 3× is at the high end of the preferred range, with a longer-term target closer to 2.5–2.75×.</w:t>
      </w:r>
    </w:p>
    <w:p>
      <w:pPr>
        <w:pStyle w:val="BodyText"/>
      </w:pPr>
      <w:r>
        <w:t xml:space="preserve">Investors should listen for the balance among:</w:t>
      </w:r>
    </w:p>
    <w:p>
      <w:pPr>
        <w:pStyle w:val="Compact"/>
        <w:numPr>
          <w:ilvl w:val="0"/>
          <w:numId w:val="1013"/>
        </w:numPr>
      </w:pPr>
      <w:r>
        <w:t xml:space="preserve">Share repurchases.</w:t>
      </w:r>
    </w:p>
    <w:p>
      <w:pPr>
        <w:pStyle w:val="Compact"/>
        <w:numPr>
          <w:ilvl w:val="0"/>
          <w:numId w:val="1013"/>
        </w:numPr>
      </w:pPr>
      <w:r>
        <w:t xml:space="preserve">Debt reduction.</w:t>
      </w:r>
    </w:p>
    <w:p>
      <w:pPr>
        <w:pStyle w:val="Compact"/>
        <w:numPr>
          <w:ilvl w:val="0"/>
          <w:numId w:val="1013"/>
        </w:numPr>
      </w:pPr>
      <w:r>
        <w:t xml:space="preserve">Maintenance capital efficiencies.</w:t>
      </w:r>
    </w:p>
    <w:p>
      <w:pPr>
        <w:pStyle w:val="Compact"/>
        <w:numPr>
          <w:ilvl w:val="0"/>
          <w:numId w:val="1013"/>
        </w:numPr>
      </w:pPr>
      <w:r>
        <w:t xml:space="preserve">Growth projects such as terminals and network capacity.</w:t>
      </w:r>
    </w:p>
    <w:p>
      <w:pPr>
        <w:pStyle w:val="Compact"/>
        <w:numPr>
          <w:ilvl w:val="0"/>
          <w:numId w:val="1013"/>
        </w:numPr>
      </w:pPr>
      <w:r>
        <w:t xml:space="preserve">The company’s commitment to maintaining investment-grade credit metrics.</w:t>
      </w:r>
    </w:p>
    <w:p>
      <w:pPr>
        <w:pStyle w:val="FirstParagraph"/>
      </w:pPr>
      <w:r>
        <w:t xml:space="preserve">Given the stock’s rally, the pace and average price of buybacks will be relevant to whether repurchases remain an attractive use of capital.</w:t>
      </w:r>
    </w:p>
    <w:bookmarkEnd w:id="24"/>
    <w:bookmarkStart w:id="25" w:name="questions-investors-should-want-answered"/>
    <w:p>
      <w:pPr>
        <w:pStyle w:val="Heading2"/>
      </w:pPr>
      <w:r>
        <w:t xml:space="preserve">Questions investors should want answered</w:t>
      </w:r>
    </w:p>
    <w:p>
      <w:pPr>
        <w:pStyle w:val="Compact"/>
        <w:numPr>
          <w:ilvl w:val="0"/>
          <w:numId w:val="1014"/>
        </w:numPr>
      </w:pPr>
      <w:r>
        <w:rPr>
          <w:b/>
          <w:bCs/>
        </w:rPr>
        <w:t xml:space="preserve">How much of Q2 revenue growth came from fuel versus volume, pricing and mix?</w:t>
      </w:r>
    </w:p>
    <w:p>
      <w:pPr>
        <w:pStyle w:val="Compact"/>
        <w:numPr>
          <w:ilvl w:val="0"/>
          <w:numId w:val="1014"/>
        </w:numPr>
      </w:pPr>
      <w:r>
        <w:rPr>
          <w:b/>
          <w:bCs/>
        </w:rPr>
        <w:t xml:space="preserve">What were gross productivity savings, and how much was offset by inflation?</w:t>
      </w:r>
    </w:p>
    <w:p>
      <w:pPr>
        <w:pStyle w:val="Compact"/>
        <w:numPr>
          <w:ilvl w:val="0"/>
          <w:numId w:val="1014"/>
        </w:numPr>
      </w:pPr>
      <w:r>
        <w:rPr>
          <w:b/>
          <w:bCs/>
        </w:rPr>
        <w:t xml:space="preserve">Did recurring cost savings fully offset the absence of Q1’s $44 million property gain?</w:t>
      </w:r>
    </w:p>
    <w:p>
      <w:pPr>
        <w:pStyle w:val="Compact"/>
        <w:numPr>
          <w:ilvl w:val="0"/>
          <w:numId w:val="1014"/>
        </w:numPr>
      </w:pPr>
      <w:r>
        <w:rPr>
          <w:b/>
          <w:bCs/>
        </w:rPr>
        <w:t xml:space="preserve">Are domestic intermodal conversions accelerating as truck capacity tightens?</w:t>
      </w:r>
    </w:p>
    <w:p>
      <w:pPr>
        <w:pStyle w:val="Compact"/>
        <w:numPr>
          <w:ilvl w:val="0"/>
          <w:numId w:val="1014"/>
        </w:numPr>
      </w:pPr>
      <w:r>
        <w:rPr>
          <w:b/>
          <w:bCs/>
        </w:rPr>
        <w:t xml:space="preserve">Has merchandise pricing improved enough to cover labor and other inflation?</w:t>
      </w:r>
    </w:p>
    <w:p>
      <w:pPr>
        <w:pStyle w:val="Compact"/>
        <w:numPr>
          <w:ilvl w:val="0"/>
          <w:numId w:val="1014"/>
        </w:numPr>
      </w:pPr>
      <w:r>
        <w:rPr>
          <w:b/>
          <w:bCs/>
        </w:rPr>
        <w:t xml:space="preserve">Are velocity and dwell holding up as the railroad handles more volume?</w:t>
      </w:r>
    </w:p>
    <w:p>
      <w:pPr>
        <w:pStyle w:val="Compact"/>
        <w:numPr>
          <w:ilvl w:val="0"/>
          <w:numId w:val="1014"/>
        </w:numPr>
      </w:pPr>
      <w:r>
        <w:rPr>
          <w:b/>
          <w:bCs/>
        </w:rPr>
        <w:t xml:space="preserve">How much incremental Howard Street Tunnel business has already been won?</w:t>
      </w:r>
    </w:p>
    <w:p>
      <w:pPr>
        <w:pStyle w:val="Compact"/>
        <w:numPr>
          <w:ilvl w:val="0"/>
          <w:numId w:val="1014"/>
        </w:numPr>
      </w:pPr>
      <w:r>
        <w:rPr>
          <w:b/>
          <w:bCs/>
        </w:rPr>
        <w:t xml:space="preserve">Are the 2026 industrial-development projects ramping on schedule?</w:t>
      </w:r>
    </w:p>
    <w:p>
      <w:pPr>
        <w:pStyle w:val="Compact"/>
        <w:numPr>
          <w:ilvl w:val="0"/>
          <w:numId w:val="1014"/>
        </w:numPr>
      </w:pPr>
      <w:r>
        <w:rPr>
          <w:b/>
          <w:bCs/>
        </w:rPr>
        <w:t xml:space="preserve">Does management still expect operating-margin expansion near the high end of 200–300 basis points?</w:t>
      </w:r>
    </w:p>
    <w:p>
      <w:pPr>
        <w:pStyle w:val="Compact"/>
        <w:numPr>
          <w:ilvl w:val="0"/>
          <w:numId w:val="1014"/>
        </w:numPr>
      </w:pPr>
      <w:r>
        <w:rPr>
          <w:b/>
          <w:bCs/>
        </w:rPr>
        <w:t xml:space="preserve">How should investors think about the exit-rate margin and cost base entering 2027?</w:t>
      </w:r>
    </w:p>
    <w:bookmarkEnd w:id="25"/>
    <w:bookmarkStart w:id="26" w:name="bottom-line"/>
    <w:p>
      <w:pPr>
        <w:pStyle w:val="Heading2"/>
      </w:pPr>
      <w:r>
        <w:t xml:space="preserve">Bottom line</w:t>
      </w:r>
    </w:p>
    <w:p>
      <w:pPr>
        <w:pStyle w:val="FirstParagraph"/>
      </w:pPr>
      <w:r>
        <w:t xml:space="preserve">The setup is fundamentally favorable: volume is growing, service has improved, truck conversion is becoming more attractive and management has identified substantial cost and capital-efficiency opportunities. Consensus does not appear excessively demanding at the operating-ratio level given the first-quarter performance.</w:t>
      </w:r>
    </w:p>
    <w:p>
      <w:pPr>
        <w:pStyle w:val="BodyText"/>
      </w:pPr>
      <w:r>
        <w:t xml:space="preserve">But CSX’s strong share-price appreciation means the market is already crediting management with a durable turnaround. The most important evidence will not be the headline revenue number, which is likely to be inflated by fuel. It will be whether CSX can deliver</w:t>
      </w:r>
      <w:r>
        <w:t xml:space="preserve"> </w:t>
      </w:r>
      <w:r>
        <w:rPr>
          <w:b/>
          <w:bCs/>
        </w:rPr>
        <w:t xml:space="preserve">recurring expense reductions, maintain network fluidity under higher volumes and preserve its high-end full-year margin outlook despite known Q2 cost headwinds</w:t>
      </w:r>
      <w:r>
        <w:t xml:space="preserve">.</w:t>
      </w:r>
    </w:p>
    <w:p>
      <w:pPr>
        <w:pStyle w:val="BodyText"/>
      </w:pPr>
      <w:r>
        <w:t xml:space="preserve">A clean operating-ratio beat plus constructive 2027 productivity commentary would support the bull case. A fuel-driven revenue beat with mediocre core margins would likely be viewed as insufficient.</w:t>
      </w:r>
    </w:p>
    <w:p>
      <w:pPr>
        <w:pStyle w:val="BodyText"/>
      </w:pPr>
      <w:r>
        <w:rPr>
          <w:i/>
          <w:iCs/>
        </w:rPr>
        <w:t xml:space="preserve">Research sources: CSX earnings releases, 10-Q filings, Q1 2026 earnings-call transcript, May 2026 Bank of America conference transcript, recent company filings, market-consensus digest and stock-price data through July 21, 2026.</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2026-07-22T00:37:31Z</dcterms:created>
  <dcterms:modified xsi:type="dcterms:W3CDTF">2026-07-22T00:37:31Z</dcterms:modified>
</cp:coreProperties>
</file>

<file path=docProps/custom.xml><?xml version="1.0" encoding="utf-8"?>
<Properties xmlns="http://schemas.openxmlformats.org/officeDocument/2006/custom-properties" xmlns:vt="http://schemas.openxmlformats.org/officeDocument/2006/docPropsVTypes"/>
</file>