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csx-2q26-earnings-preview"/>
    <w:p>
      <w:pPr>
        <w:pStyle w:val="Heading1"/>
      </w:pPr>
      <w:r>
        <w:t xml:space="preserve">CSX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The event date provided—</w:t>
      </w:r>
      <w:r>
        <w:rPr>
          <w:b/>
          <w:bCs/>
        </w:rPr>
        <w:t xml:space="preserve">Wednesday, July 22, 2026</w:t>
      </w:r>
      <w:r>
        <w:t xml:space="preserve">—is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CSX is scheduled to report second-quarter results after the U.S. market close, followed by its earnings call.</w:t>
      </w:r>
    </w:p>
    <w:bookmarkStart w:id="9" w:name="Xbcea33c54b0c434be3bb1a408b101e1c1bef7c2"/>
    <w:p>
      <w:pPr>
        <w:pStyle w:val="Heading2"/>
      </w:pPr>
      <w:r>
        <w:t xml:space="preserve">Investment view: execution and outlook matter more than the headline beat</w:t>
      </w:r>
    </w:p>
    <w:p>
      <w:pPr>
        <w:pStyle w:val="FirstParagraph"/>
      </w:pPr>
      <w:r>
        <w:t xml:space="preserve">CSX enters 2Q earnings with</w:t>
      </w:r>
      <w:r>
        <w:t xml:space="preserve"> </w:t>
      </w:r>
      <w:r>
        <w:rPr>
          <w:b/>
          <w:bCs/>
        </w:rPr>
        <w:t xml:space="preserve">meaningfully improved operating momentum</w:t>
      </w:r>
      <w:r>
        <w:t xml:space="preserve">, a constructive domestic freight backdrop, and a management team explicitly focused on restoring best-in-class margins and returns. The central question is not simply whether CSX can meet consensus EPS: it is whether the company can demonstrate that its Q1 cost and service improvement was</w:t>
      </w:r>
      <w:r>
        <w:t xml:space="preserve"> </w:t>
      </w:r>
      <w:r>
        <w:rPr>
          <w:b/>
          <w:bCs/>
        </w:rPr>
        <w:t xml:space="preserve">repeatable</w:t>
      </w:r>
      <w:r>
        <w:t xml:space="preserve">, while sustaining volume gains and its upgraded full-year framework.</w:t>
      </w:r>
    </w:p>
    <w:p>
      <w:pPr>
        <w:pStyle w:val="BodyText"/>
      </w:pPr>
      <w:r>
        <w:t xml:space="preserve">The setup is favorable but demanding. CSX stock closed at</w:t>
      </w:r>
      <w:r>
        <w:t xml:space="preserve"> </w:t>
      </w:r>
      <w:r>
        <w:rPr>
          <w:b/>
          <w:bCs/>
        </w:rPr>
        <w:t xml:space="preserve">$49.91 on July 21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38% year to date</w:t>
      </w:r>
      <w:r>
        <w:t xml:space="preserve"> </w:t>
      </w:r>
      <w:r>
        <w:t xml:space="preserve">and about</w:t>
      </w:r>
      <w:r>
        <w:t xml:space="preserve"> </w:t>
      </w:r>
      <w:r>
        <w:rPr>
          <w:b/>
          <w:bCs/>
        </w:rPr>
        <w:t xml:space="preserve">16% since the day before its April 22 Q1 report</w:t>
      </w:r>
      <w:r>
        <w:t xml:space="preserve">. That performance suggests investors already recognize the operational turnaround, improving rail fundamentals, and potential industry-consolidation benefits. A merely in-line quarter—particularly one with a cautious second-half tone—may therefore be insufficient.</w:t>
      </w:r>
    </w:p>
    <w:bookmarkEnd w:id="9"/>
    <w:bookmarkStart w:id="10" w:name="what-the-street-expects"/>
    <w:p>
      <w:pPr>
        <w:pStyle w:val="Heading2"/>
      </w:pPr>
      <w:r>
        <w:t xml:space="preserve">What the Street expects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consensus expectation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$3.85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+7.6%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ratio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63.2%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$0.51</w:t>
            </w:r>
          </w:p>
        </w:tc>
      </w:tr>
    </w:tbl>
    <w:p>
      <w:pPr>
        <w:pStyle w:val="BodyText"/>
      </w:pPr>
      <w:r>
        <w:t xml:space="preserve">The expected</w:t>
      </w:r>
      <w:r>
        <w:t xml:space="preserve"> </w:t>
      </w:r>
      <w:r>
        <w:rPr>
          <w:b/>
          <w:bCs/>
        </w:rPr>
        <w:t xml:space="preserve">63.2% operating ratio</w:t>
      </w:r>
      <w:r>
        <w:t xml:space="preserve"> </w:t>
      </w:r>
      <w:r>
        <w:t xml:space="preserve">implies a roughly</w:t>
      </w:r>
      <w:r>
        <w:t xml:space="preserve"> </w:t>
      </w:r>
      <w:r>
        <w:rPr>
          <w:b/>
          <w:bCs/>
        </w:rPr>
        <w:t xml:space="preserve">36.8% operating margin</w:t>
      </w:r>
      <w:r>
        <w:t xml:space="preserve">, modestly above CSX’s</w:t>
      </w:r>
      <w:r>
        <w:t xml:space="preserve"> </w:t>
      </w:r>
      <w:r>
        <w:rPr>
          <w:b/>
          <w:bCs/>
        </w:rPr>
        <w:t xml:space="preserve">36.0%</w:t>
      </w:r>
      <w:r>
        <w:t xml:space="preserve"> </w:t>
      </w:r>
      <w:r>
        <w:t xml:space="preserve">first-quarter margin. The earnings setup therefore requires not just healthy volume and fuel-surcharge revenue, but also credible expense control despite management’s previously flagged quarterly cost headwinds.</w:t>
      </w:r>
    </w:p>
    <w:bookmarkEnd w:id="10"/>
    <w:bookmarkStart w:id="14" w:name="why-the-quarter-could-work"/>
    <w:p>
      <w:pPr>
        <w:pStyle w:val="Heading2"/>
      </w:pPr>
      <w:r>
        <w:t xml:space="preserve">Why the quarter could work</w:t>
      </w:r>
    </w:p>
    <w:bookmarkStart w:id="11" w:name="X0b99fe50e5ce992725242e3f5dfae70bc6d6d4a"/>
    <w:p>
      <w:pPr>
        <w:pStyle w:val="Heading3"/>
      </w:pPr>
      <w:r>
        <w:t xml:space="preserve">1. Underlying volume trends appeared to accelerate after Q1</w:t>
      </w:r>
    </w:p>
    <w:p>
      <w:pPr>
        <w:pStyle w:val="FirstParagraph"/>
      </w:pPr>
      <w:r>
        <w:t xml:space="preserve">CSX reported 3% total volume growth in Q1, led by</w:t>
      </w:r>
      <w:r>
        <w:t xml:space="preserve"> </w:t>
      </w:r>
      <w:r>
        <w:rPr>
          <w:b/>
          <w:bCs/>
        </w:rPr>
        <w:t xml:space="preserve">6% intermodal growth</w:t>
      </w:r>
      <w:r>
        <w:t xml:space="preserve">, while merchandise was flat and coal volume was down 1%. At the May Bank of America conference, management said quarter-to-date carloads were running up roughly</w:t>
      </w:r>
      <w:r>
        <w:t xml:space="preserve"> </w:t>
      </w:r>
      <w:r>
        <w:rPr>
          <w:b/>
          <w:bCs/>
        </w:rPr>
        <w:t xml:space="preserve">4.5%</w:t>
      </w:r>
      <w:r>
        <w:t xml:space="preserve">, with a reported weekly carload figure near an eight-year high.</w:t>
      </w:r>
    </w:p>
    <w:p>
      <w:pPr>
        <w:pStyle w:val="BodyText"/>
      </w:pPr>
      <w:r>
        <w:t xml:space="preserve">The more important qualitative point is that growth was broadening: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Domestic intermodal</w:t>
      </w:r>
      <w:r>
        <w:t xml:space="preserve"> </w:t>
      </w:r>
      <w:r>
        <w:t xml:space="preserve">benefited from trucking-market tightening, higher diesel prices, new services, and rail conversion.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Chemicals</w:t>
      </w:r>
      <w:r>
        <w:t xml:space="preserve"> </w:t>
      </w:r>
      <w:r>
        <w:t xml:space="preserve">benefited from favorable U.S. energy economics and improving demand for plastics-related products.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Minerals, aggregates, construction steel, and pipe</w:t>
      </w:r>
      <w:r>
        <w:t xml:space="preserve"> </w:t>
      </w:r>
      <w:r>
        <w:t xml:space="preserve">were supported by infrastructure and energy-related activity.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Domestic utility coal</w:t>
      </w:r>
      <w:r>
        <w:t xml:space="preserve"> </w:t>
      </w:r>
      <w:r>
        <w:t xml:space="preserve">demand remained healthy, helped by power demand and data-center-related electricity needs.</w:t>
      </w:r>
    </w:p>
    <w:p>
      <w:pPr>
        <w:pStyle w:val="Compact"/>
        <w:numPr>
          <w:ilvl w:val="0"/>
          <w:numId w:val="1001"/>
        </w:numPr>
      </w:pPr>
      <w:r>
        <w:t xml:space="preserve">Industrial-development wins provide a longer-duration source of incremental carloads rather than a purely cyclical rebound.</w:t>
      </w:r>
    </w:p>
    <w:p>
      <w:pPr>
        <w:pStyle w:val="FirstParagraph"/>
      </w:pPr>
      <w:r>
        <w:t xml:space="preserve">A strong Q2 print would ideally show broad merchandise growth—not solely a fuel-driven revenue gain or a continuation of isolated strength in intermodal and chemicals.</w:t>
      </w:r>
    </w:p>
    <w:bookmarkEnd w:id="11"/>
    <w:bookmarkStart w:id="12" w:name="Xf0925b4740536396a560f36aaedd56e7c766682"/>
    <w:p>
      <w:pPr>
        <w:pStyle w:val="Heading3"/>
      </w:pPr>
      <w:r>
        <w:t xml:space="preserve">2. Service gains should support both share capture and cost productivity</w:t>
      </w:r>
    </w:p>
    <w:p>
      <w:pPr>
        <w:pStyle w:val="FirstParagraph"/>
      </w:pPr>
      <w:r>
        <w:t xml:space="preserve">Q1 demonstrated a much better operating foundation: train velocity improved 7% year over year, dwell improved 7%, carload trip-plan performance rose 7%, and the FRA train accident rate improved 31%. Better fluidity should help CSX handle incremental volume without proportionate labor or equipment cost growth.</w:t>
      </w:r>
    </w:p>
    <w:p>
      <w:pPr>
        <w:pStyle w:val="BodyText"/>
      </w:pPr>
      <w:r>
        <w:t xml:space="preserve">Management has also characterized current capacity as sufficient for low-single-digit growth, particularly because a meaningful portion of incremental business can fit into existing manifest-train capacity. This is important: incremental revenue that can be absorbed with limited resource additions has materially better margin conversion.</w:t>
      </w:r>
    </w:p>
    <w:bookmarkEnd w:id="12"/>
    <w:bookmarkStart w:id="13" w:name="X204ba39bc1db98e14124d1441e8d6cb23e2bcc7"/>
    <w:p>
      <w:pPr>
        <w:pStyle w:val="Heading3"/>
      </w:pPr>
      <w:r>
        <w:t xml:space="preserve">3. The Howard Street Tunnel and new intermodal services offer a real medium-term growth narrative</w:t>
      </w:r>
    </w:p>
    <w:p>
      <w:pPr>
        <w:pStyle w:val="FirstParagraph"/>
      </w:pPr>
      <w:r>
        <w:t xml:space="preserve">CSX completed the final clearance work around the Howard Street Tunnel in Q2, enabling double-stack service. Management has highlighted three benefits:</w:t>
      </w:r>
    </w:p>
    <w:p>
      <w:pPr>
        <w:pStyle w:val="Compact"/>
        <w:numPr>
          <w:ilvl w:val="0"/>
          <w:numId w:val="1002"/>
        </w:numPr>
      </w:pPr>
      <w:r>
        <w:t xml:space="preserve">More east-west capacity and faster transit;</w:t>
      </w:r>
    </w:p>
    <w:p>
      <w:pPr>
        <w:pStyle w:val="Compact"/>
        <w:numPr>
          <w:ilvl w:val="0"/>
          <w:numId w:val="1002"/>
        </w:numPr>
      </w:pPr>
      <w:r>
        <w:t xml:space="preserve">Greater capacity along the I-95 corridor; and</w:t>
      </w:r>
    </w:p>
    <w:p>
      <w:pPr>
        <w:pStyle w:val="Compact"/>
        <w:numPr>
          <w:ilvl w:val="0"/>
          <w:numId w:val="1002"/>
        </w:numPr>
      </w:pPr>
      <w:r>
        <w:t xml:space="preserve">New, more efficient connections between Southeastern and Northeastern markets.</w:t>
      </w:r>
    </w:p>
    <w:p>
      <w:pPr>
        <w:pStyle w:val="FirstParagraph"/>
      </w:pPr>
      <w:r>
        <w:t xml:space="preserve">CSX has framed the opportunity at roughly</w:t>
      </w:r>
      <w:r>
        <w:t xml:space="preserve"> </w:t>
      </w:r>
      <w:r>
        <w:rPr>
          <w:b/>
          <w:bCs/>
        </w:rPr>
        <w:t xml:space="preserve">75,000–125,000 incremental intermodal loads</w:t>
      </w:r>
      <w:r>
        <w:t xml:space="preserve"> </w:t>
      </w:r>
      <w:r>
        <w:t xml:space="preserve">over several bid cycles. Investors should not expect a full earnings contribution immediately, but early customer wins, volume ramp commentary, and service performance will be important indicators of whether this is becoming a durable growth lever.</w:t>
      </w:r>
    </w:p>
    <w:p>
      <w:pPr>
        <w:pStyle w:val="BodyText"/>
      </w:pPr>
      <w:r>
        <w:t xml:space="preserve">The company is also advancing its</w:t>
      </w:r>
      <w:r>
        <w:t xml:space="preserve"> </w:t>
      </w:r>
      <w:r>
        <w:rPr>
          <w:b/>
          <w:bCs/>
        </w:rPr>
        <w:t xml:space="preserve">SMX</w:t>
      </w:r>
      <w:r>
        <w:t xml:space="preserve"> </w:t>
      </w:r>
      <w:r>
        <w:t xml:space="preserve">service with CPKC, aimed at truck-competitive connectivity between the Southeast, Dallas, and Mexico.</w:t>
      </w:r>
    </w:p>
    <w:bookmarkEnd w:id="13"/>
    <w:bookmarkEnd w:id="14"/>
    <w:bookmarkStart w:id="15" w:name="X4f78cc8b107abdc54aa411b50176a7bfb684ebf"/>
    <w:p>
      <w:pPr>
        <w:pStyle w:val="Heading2"/>
      </w:pPr>
      <w:r>
        <w:t xml:space="preserve">The key tension: fuel lifts revenue but can dilute margins</w:t>
      </w:r>
    </w:p>
    <w:p>
      <w:pPr>
        <w:pStyle w:val="FirstParagraph"/>
      </w:pPr>
      <w:r>
        <w:t xml:space="preserve">CSX raised its 2026 revenue outlook in Q1 to</w:t>
      </w:r>
      <w:r>
        <w:t xml:space="preserve"> </w:t>
      </w:r>
      <w:r>
        <w:rPr>
          <w:b/>
          <w:bCs/>
        </w:rPr>
        <w:t xml:space="preserve">mid-single-digit growth</w:t>
      </w:r>
      <w:r>
        <w:t xml:space="preserve">, from low-single-digit growth previously. However, management was clear that most of the change reflected higher anticipated diesel prices and fuel-surcharge revenue—not a wholesale upgrade to the underlying macro outlook.</w:t>
      </w:r>
    </w:p>
    <w:p>
      <w:pPr>
        <w:pStyle w:val="BodyText"/>
      </w:pPr>
      <w:r>
        <w:t xml:space="preserve">This distinction is central to Q2: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Higher fuel surcharge</w:t>
      </w:r>
      <w:r>
        <w:t xml:space="preserve"> </w:t>
      </w:r>
      <w:r>
        <w:t xml:space="preserve">should support reported revenue.</w:t>
      </w:r>
    </w:p>
    <w:p>
      <w:pPr>
        <w:pStyle w:val="Compact"/>
        <w:numPr>
          <w:ilvl w:val="0"/>
          <w:numId w:val="1003"/>
        </w:numPr>
      </w:pPr>
      <w:r>
        <w:t xml:space="preserve">But surcharge recovery has timing lags, particularly a two-month lag in non-intermodal traffic.</w:t>
      </w:r>
    </w:p>
    <w:p>
      <w:pPr>
        <w:pStyle w:val="Compact"/>
        <w:numPr>
          <w:ilvl w:val="0"/>
          <w:numId w:val="1003"/>
        </w:numPr>
      </w:pPr>
      <w:r>
        <w:t xml:space="preserve">Higher diesel costs can create</w:t>
      </w:r>
      <w:r>
        <w:t xml:space="preserve"> </w:t>
      </w:r>
      <w:r>
        <w:rPr>
          <w:b/>
          <w:bCs/>
        </w:rPr>
        <w:t xml:space="preserve">optical operating-margin pressure</w:t>
      </w:r>
      <w:r>
        <w:t xml:space="preserve">, even when nominal revenue rises.</w:t>
      </w:r>
    </w:p>
    <w:p>
      <w:pPr>
        <w:pStyle w:val="Compact"/>
        <w:numPr>
          <w:ilvl w:val="0"/>
          <w:numId w:val="1003"/>
        </w:numPr>
      </w:pPr>
      <w:r>
        <w:t xml:space="preserve">Management had previously said fuel prices were likely to be higher in Q2 than in Q1.</w:t>
      </w:r>
    </w:p>
    <w:p>
      <w:pPr>
        <w:pStyle w:val="FirstParagraph"/>
      </w:pPr>
      <w:r>
        <w:t xml:space="preserve">Accordingly, investors should focus on</w:t>
      </w:r>
      <w:r>
        <w:t xml:space="preserve"> </w:t>
      </w:r>
      <w:r>
        <w:rPr>
          <w:b/>
          <w:bCs/>
        </w:rPr>
        <w:t xml:space="preserve">core pricing, volume, and margin excluding fuel timing effects</w:t>
      </w:r>
      <w:r>
        <w:t xml:space="preserve">, rather than treating a revenue beat as automatically high quality.</w:t>
      </w:r>
    </w:p>
    <w:bookmarkEnd w:id="15"/>
    <w:bookmarkStart w:id="17" w:name="X9b37578e41ce970e5d5e8ca3ca04a305f005fec"/>
    <w:p>
      <w:pPr>
        <w:pStyle w:val="Heading2"/>
      </w:pPr>
      <w:r>
        <w:t xml:space="preserve">Margin execution is the primary earnings variable</w:t>
      </w:r>
    </w:p>
    <w:p>
      <w:pPr>
        <w:pStyle w:val="FirstParagraph"/>
      </w:pPr>
      <w:r>
        <w:t xml:space="preserve">CSX’s Q1 results were strong: operating income increased 20% year over year to</w:t>
      </w:r>
      <w:r>
        <w:t xml:space="preserve"> </w:t>
      </w:r>
      <w:r>
        <w:rPr>
          <w:b/>
          <w:bCs/>
        </w:rPr>
        <w:t xml:space="preserve">$1.25 billion</w:t>
      </w:r>
      <w:r>
        <w:t xml:space="preserve">, and operating margin expanded to</w:t>
      </w:r>
      <w:r>
        <w:t xml:space="preserve"> </w:t>
      </w:r>
      <w:r>
        <w:rPr>
          <w:b/>
          <w:bCs/>
        </w:rPr>
        <w:t xml:space="preserve">36.0%</w:t>
      </w:r>
      <w:r>
        <w:t xml:space="preserve"> </w:t>
      </w:r>
      <w:r>
        <w:t xml:space="preserve">from 30.4%. Yet some Q1 expense favorability was not recurring:</w:t>
      </w:r>
    </w:p>
    <w:p>
      <w:pPr>
        <w:pStyle w:val="Compact"/>
        <w:numPr>
          <w:ilvl w:val="0"/>
          <w:numId w:val="1004"/>
        </w:numPr>
      </w:pPr>
      <w:r>
        <w:t xml:space="preserve">Q1 included a</w:t>
      </w:r>
      <w:r>
        <w:t xml:space="preserve"> </w:t>
      </w:r>
      <w:r>
        <w:rPr>
          <w:b/>
          <w:bCs/>
        </w:rPr>
        <w:t xml:space="preserve">$44 million gain on property dispositions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Prior-year network-disruption and congestion costs created easier comparisons.</w:t>
      </w:r>
    </w:p>
    <w:p>
      <w:pPr>
        <w:pStyle w:val="Compact"/>
        <w:numPr>
          <w:ilvl w:val="0"/>
          <w:numId w:val="1004"/>
        </w:numPr>
      </w:pPr>
      <w:r>
        <w:t xml:space="preserve">Management flagged higher</w:t>
      </w:r>
      <w:r>
        <w:t xml:space="preserve"> </w:t>
      </w:r>
      <w:r>
        <w:rPr>
          <w:b/>
          <w:bCs/>
        </w:rPr>
        <w:t xml:space="preserve">incentive compensation</w:t>
      </w:r>
      <w:r>
        <w:t xml:space="preserve">,</w:t>
      </w:r>
      <w:r>
        <w:t xml:space="preserve"> </w:t>
      </w:r>
      <w:r>
        <w:rPr>
          <w:b/>
          <w:bCs/>
        </w:rPr>
        <w:t xml:space="preserve">locomotive overhaul costs</w:t>
      </w:r>
      <w:r>
        <w:t xml:space="preserve">, and</w:t>
      </w:r>
      <w:r>
        <w:t xml:space="preserve"> </w:t>
      </w:r>
      <w:r>
        <w:rPr>
          <w:b/>
          <w:bCs/>
        </w:rPr>
        <w:t xml:space="preserve">advisory costs related to industry consolidation</w:t>
      </w:r>
      <w:r>
        <w:t xml:space="preserve"> </w:t>
      </w:r>
      <w:r>
        <w:t xml:space="preserve">for Q2.</w:t>
      </w:r>
    </w:p>
    <w:p>
      <w:pPr>
        <w:pStyle w:val="FirstParagraph"/>
      </w:pPr>
      <w:r>
        <w:t xml:space="preserve">The company nonetheless reaffirmed expectations for</w:t>
      </w:r>
      <w:r>
        <w:t xml:space="preserve"> </w:t>
      </w:r>
      <w:r>
        <w:rPr>
          <w:b/>
          <w:bCs/>
        </w:rPr>
        <w:t xml:space="preserve">200–300 basis points of full-year operating-margin expansion</w:t>
      </w:r>
      <w:r>
        <w:t xml:space="preserve">, biased toward the high end of that range. That is a high bar—and the most important message for the call will be whether management maintains it confidently.</w:t>
      </w:r>
    </w:p>
    <w:bookmarkStart w:id="16" w:name="X12872b92eced413811f67cdd842cef963184d4d"/>
    <w:p>
      <w:pPr>
        <w:pStyle w:val="Heading3"/>
      </w:pPr>
      <w:r>
        <w:t xml:space="preserve">What would constitute a strong margin outcome?</w:t>
      </w:r>
    </w:p>
    <w:p>
      <w:pPr>
        <w:pStyle w:val="FirstParagraph"/>
      </w:pPr>
      <w:r>
        <w:t xml:space="preserve">A favorable result would include:</w:t>
      </w:r>
    </w:p>
    <w:p>
      <w:pPr>
        <w:pStyle w:val="Compact"/>
        <w:numPr>
          <w:ilvl w:val="0"/>
          <w:numId w:val="1005"/>
        </w:numPr>
      </w:pPr>
      <w:r>
        <w:t xml:space="preserve">Operating ratio at or better than consensus;</w:t>
      </w:r>
    </w:p>
    <w:p>
      <w:pPr>
        <w:pStyle w:val="Compact"/>
        <w:numPr>
          <w:ilvl w:val="0"/>
          <w:numId w:val="1005"/>
        </w:numPr>
      </w:pPr>
      <w:r>
        <w:t xml:space="preserve">A clear explanation that productivity savings are offsetting fuel and temporary-cost pressures;</w:t>
      </w:r>
    </w:p>
    <w:p>
      <w:pPr>
        <w:pStyle w:val="Compact"/>
        <w:numPr>
          <w:ilvl w:val="0"/>
          <w:numId w:val="1005"/>
        </w:numPr>
      </w:pPr>
      <w:r>
        <w:t xml:space="preserve">Evidence that Q1’s savings were structural rather than dependent on one-time items;</w:t>
      </w:r>
    </w:p>
    <w:p>
      <w:pPr>
        <w:pStyle w:val="Compact"/>
        <w:numPr>
          <w:ilvl w:val="0"/>
          <w:numId w:val="1005"/>
        </w:numPr>
      </w:pPr>
      <w:r>
        <w:t xml:space="preserve">Confirmation that the company’s 100-plus productivity initiatives remain on track; and</w:t>
      </w:r>
    </w:p>
    <w:p>
      <w:pPr>
        <w:pStyle w:val="Compact"/>
        <w:numPr>
          <w:ilvl w:val="0"/>
          <w:numId w:val="1005"/>
        </w:numPr>
      </w:pPr>
      <w:r>
        <w:t xml:space="preserve">A credible path to continued improvement into 2027.</w:t>
      </w:r>
    </w:p>
    <w:p>
      <w:pPr>
        <w:pStyle w:val="FirstParagraph"/>
      </w:pPr>
      <w:r>
        <w:t xml:space="preserve">Management has emphasized savings in purchased services, vehicle utilization, engineering-work execution, energy usage, crew management, and technology-enabled decision making. The credibility of this multiyear cost program is likely the largest swing factor for the stock.</w:t>
      </w:r>
    </w:p>
    <w:bookmarkEnd w:id="16"/>
    <w:bookmarkEnd w:id="17"/>
    <w:bookmarkStart w:id="18" w:name="freight-market-scorecard"/>
    <w:p>
      <w:pPr>
        <w:pStyle w:val="Heading2"/>
      </w:pPr>
      <w:r>
        <w:t xml:space="preserve">Freight-market scorecard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Business</w:t>
            </w:r>
          </w:p>
        </w:tc>
        <w:tc>
          <w:tcPr/>
          <w:p>
            <w:pPr>
              <w:pStyle w:val="Compact"/>
            </w:pPr>
            <w:r>
              <w:t xml:space="preserve">2Q setup</w:t>
            </w:r>
          </w:p>
        </w:tc>
        <w:tc>
          <w:tcPr/>
          <w:p>
            <w:pPr>
              <w:pStyle w:val="Compact"/>
            </w:pPr>
            <w:r>
              <w:t xml:space="preserve">What to watch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Intermodal</w:t>
            </w:r>
          </w:p>
        </w:tc>
        <w:tc>
          <w:tcPr/>
          <w:p>
            <w:pPr>
              <w:pStyle w:val="Compact"/>
            </w:pPr>
            <w:r>
              <w:t xml:space="preserve">Most constructive segment; domestic truck conversion and new service offerings are supportive</w:t>
            </w:r>
          </w:p>
        </w:tc>
        <w:tc>
          <w:tcPr/>
          <w:p>
            <w:pPr>
              <w:pStyle w:val="Compact"/>
            </w:pPr>
            <w:r>
              <w:t xml:space="preserve">Domestic versus international mix, RPU, Howard Street Tunnel ramp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Chemicals</w:t>
            </w:r>
          </w:p>
        </w:tc>
        <w:tc>
          <w:tcPr/>
          <w:p>
            <w:pPr>
              <w:pStyle w:val="Compact"/>
            </w:pPr>
            <w:r>
              <w:t xml:space="preserve">Favorable U.S. feedstock economics and plastics demand were improving</w:t>
            </w:r>
          </w:p>
        </w:tc>
        <w:tc>
          <w:tcPr/>
          <w:p>
            <w:pPr>
              <w:pStyle w:val="Compact"/>
            </w:pPr>
            <w:r>
              <w:t xml:space="preserve">Sustainability of demand and any evidence of global-demand pull-through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Minerals / metals</w:t>
            </w:r>
          </w:p>
        </w:tc>
        <w:tc>
          <w:tcPr/>
          <w:p>
            <w:pPr>
              <w:pStyle w:val="Compact"/>
            </w:pPr>
            <w:r>
              <w:t xml:space="preserve">Infrastructure, construction, pipe, and energy projects are supportive</w:t>
            </w:r>
          </w:p>
        </w:tc>
        <w:tc>
          <w:tcPr/>
          <w:p>
            <w:pPr>
              <w:pStyle w:val="Compact"/>
            </w:pPr>
            <w:r>
              <w:t xml:space="preserve">Breadth of growth and tariff-related demand effects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Coal</w:t>
            </w:r>
          </w:p>
        </w:tc>
        <w:tc>
          <w:tcPr/>
          <w:p>
            <w:pPr>
              <w:pStyle w:val="Compact"/>
            </w:pPr>
            <w:r>
              <w:t xml:space="preserve">Domestic utility demand constructive; export coal remains more uncertain</w:t>
            </w:r>
          </w:p>
        </w:tc>
        <w:tc>
          <w:tcPr/>
          <w:p>
            <w:pPr>
              <w:pStyle w:val="Compact"/>
            </w:pPr>
            <w:r>
              <w:t xml:space="preserve">Utility-plant extension/closure developments, export benchmark pricing, mine restarts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Automotive</w:t>
            </w:r>
          </w:p>
        </w:tc>
        <w:tc>
          <w:tcPr/>
          <w:p>
            <w:pPr>
              <w:pStyle w:val="Compact"/>
            </w:pPr>
            <w:r>
              <w:t xml:space="preserve">Still a headwind due to lower production and a major customer retooling outage</w:t>
            </w:r>
          </w:p>
        </w:tc>
        <w:tc>
          <w:tcPr/>
          <w:p>
            <w:pPr>
              <w:pStyle w:val="Compact"/>
            </w:pPr>
            <w:r>
              <w:t xml:space="preserve">Timing of production recovery and whether tariff dynamics alter volumes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Forest products</w:t>
            </w:r>
          </w:p>
        </w:tc>
        <w:tc>
          <w:tcPr/>
          <w:p>
            <w:pPr>
              <w:pStyle w:val="Compact"/>
            </w:pPr>
            <w:r>
              <w:t xml:space="preserve">The clearest weak spot, pressured by housing affordability, mill closures, and weak building products</w:t>
            </w:r>
          </w:p>
        </w:tc>
        <w:tc>
          <w:tcPr/>
          <w:p>
            <w:pPr>
              <w:pStyle w:val="Compact"/>
            </w:pPr>
            <w:r>
              <w:t xml:space="preserve">Whether truck-to-rail conversion mitigates declines; closure overlap timing</w:t>
            </w:r>
          </w:p>
        </w:tc>
      </w:tr>
    </w:tbl>
    <w:bookmarkEnd w:id="18"/>
    <w:bookmarkStart w:id="19" w:name="guidance-what-needs-to-be-defended"/>
    <w:p>
      <w:pPr>
        <w:pStyle w:val="Heading2"/>
      </w:pPr>
      <w:r>
        <w:t xml:space="preserve">Guidance: what needs to be defended</w:t>
      </w:r>
    </w:p>
    <w:p>
      <w:pPr>
        <w:pStyle w:val="FirstParagraph"/>
      </w:pPr>
      <w:r>
        <w:t xml:space="preserve">CSX’s current 2026 framework is: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Revenue growth:</w:t>
      </w:r>
      <w:r>
        <w:t xml:space="preserve"> </w:t>
      </w:r>
      <w:r>
        <w:t xml:space="preserve">mid-single digits, including fuel;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Operating-margin expansion:</w:t>
      </w:r>
      <w:r>
        <w:t xml:space="preserve"> </w:t>
      </w:r>
      <w:r>
        <w:t xml:space="preserve">200–300 bps, toward the high end;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Capital spending:</w:t>
      </w:r>
      <w:r>
        <w:t xml:space="preserve"> </w:t>
      </w:r>
      <w:r>
        <w:t xml:space="preserve">below</w:t>
      </w:r>
      <w:r>
        <w:t xml:space="preserve"> </w:t>
      </w:r>
      <w:r>
        <w:rPr>
          <w:b/>
          <w:bCs/>
        </w:rPr>
        <w:t xml:space="preserve">$2.4 billion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Free cash flow growth:</w:t>
      </w:r>
      <w:r>
        <w:t xml:space="preserve"> </w:t>
      </w:r>
      <w:r>
        <w:t xml:space="preserve">more than</w:t>
      </w:r>
      <w:r>
        <w:t xml:space="preserve"> </w:t>
      </w:r>
      <w:r>
        <w:rPr>
          <w:b/>
          <w:bCs/>
        </w:rPr>
        <w:t xml:space="preserve">60%</w:t>
      </w:r>
      <w:r>
        <w:t xml:space="preserve"> </w:t>
      </w:r>
      <w:r>
        <w:t xml:space="preserve">versus 2025.</w:t>
      </w:r>
    </w:p>
    <w:p>
      <w:pPr>
        <w:pStyle w:val="FirstParagraph"/>
      </w:pPr>
      <w:r>
        <w:t xml:space="preserve">The highest-quality outcome would be a reiteration of all four measures, accompanied by commentary that underlying volumes and core pricing—not fuel alone—are supporting the revenue outlook.</w:t>
      </w:r>
    </w:p>
    <w:p>
      <w:pPr>
        <w:pStyle w:val="BodyText"/>
      </w:pPr>
      <w:r>
        <w:t xml:space="preserve">The downside risk is not necessarily a dramatic guidance cut. Given the stock’s run, a more subtle signal—such as softer international intermodal, renewed forest-products weakness, pressure on export coal, or a less confident tone on margin cadence—could still disappoint investors.</w:t>
      </w:r>
    </w:p>
    <w:bookmarkEnd w:id="19"/>
    <w:bookmarkStart w:id="20" w:name="key-questions-for-management"/>
    <w:p>
      <w:pPr>
        <w:pStyle w:val="Heading2"/>
      </w:pPr>
      <w:r>
        <w:t xml:space="preserve">Key questions for management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How much of Q2 revenue growth came from volume, core price, and fuel surcharge?</w:t>
      </w:r>
      <w:r>
        <w:br/>
      </w:r>
      <w:r>
        <w:t xml:space="preserve">This separates fundamental improvement from commodity-price pass-through.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Did Q2 volume growth remain in the mid-single digits?</w:t>
      </w:r>
      <w:r>
        <w:br/>
      </w:r>
      <w:r>
        <w:t xml:space="preserve">The May update was constructive; investors will want confirmation that momentum held through June.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Can CSX deliver the high end of its 200–300 bp margin-expansion target despite higher fuel?</w:t>
      </w:r>
      <w:r>
        <w:br/>
      </w:r>
      <w:r>
        <w:t xml:space="preserve">The answer will determine whether the productivity program is viewed as durable.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How much of the Q1 cost performance was repeatable?</w:t>
      </w:r>
      <w:r>
        <w:br/>
      </w:r>
      <w:r>
        <w:t xml:space="preserve">Specifically, what is the run-rate benefit from lower purchased services, labor efficiency, and improved asset utilization after stripping out the property gain?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What has been the early commercial response to Howard Street Tunnel clearance?</w:t>
      </w:r>
      <w:r>
        <w:br/>
      </w:r>
      <w:r>
        <w:t xml:space="preserve">Initial customer wins, bid activity, and expected timing of load additions are more relevant than a near-term revenue contribution.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Are domestic intermodal and rail-conversion gains holding?</w:t>
      </w:r>
      <w:r>
        <w:br/>
      </w:r>
      <w:r>
        <w:t xml:space="preserve">This is the most visible proof point for CSX’s service improvement and pricing power.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What is the outlook for coal and forest products in the second half?</w:t>
      </w:r>
      <w:r>
        <w:br/>
      </w:r>
      <w:r>
        <w:t xml:space="preserve">Domestic power demand is supportive, but utility closures, export-met pricing, and housing-related weakness remain important offsets.</w:t>
      </w:r>
    </w:p>
    <w:bookmarkEnd w:id="20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CSX has one of the more compelling operational setups in the rail group: service has improved, domestic freight trends appear better, intermodal capacity is expanding, and management is pursuing a more disciplined cost-and-capital agenda. The Q2 report should show solid revenue and EPS growth.</w:t>
      </w:r>
    </w:p>
    <w:p>
      <w:pPr>
        <w:pStyle w:val="BodyText"/>
      </w:pPr>
      <w:r>
        <w:t xml:space="preserve">However,</w:t>
      </w:r>
      <w:r>
        <w:t xml:space="preserve"> </w:t>
      </w:r>
      <w:r>
        <w:rPr>
          <w:b/>
          <w:bCs/>
        </w:rPr>
        <w:t xml:space="preserve">the stock’s elevated expectations make this a margin-and-guidance report</w:t>
      </w:r>
      <w:r>
        <w:t xml:space="preserve">. A clean beat with maintained high-end margin confidence, broad volume growth, and constructive commentary on intermodal/Howard Street Tunnel ramp could reinforce the re-rating. Conversely, results that rely disproportionately on fuel recovery—or that expose weaker underlying demand or a slower cost cadence—could prompt a reset after a strong year-to-date share-price move.</w:t>
      </w:r>
    </w:p>
    <w:p>
      <w:pPr>
        <w:pStyle w:val="BodyText"/>
      </w:pPr>
      <w:r>
        <w:rPr>
          <w:i/>
          <w:iCs/>
        </w:rPr>
        <w:t xml:space="preserve">Sources reviewed: CSX 1Q26 earnings release, quarterly financial report, April 22 earnings-call transcript, May 13 Bank of America conference transcript, recent market-news digest, and CSX historical share-price data through July 21, 2026.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2026-07-22T00:36:34Z</dcterms:created>
  <dcterms:modified xsi:type="dcterms:W3CDTF">2026-07-22T00:36:34Z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